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line="230"/>
      </w:pP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Lab 2 — What I ran, what I saw, what I would ship</w:t>
      </w:r>
    </w:p>
    <w:p>
      <w:pPr>
        <w:spacing w:after="120" w:line="230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16"/>
          <w:szCs w:val="16"/>
        </w:rPr>
        <w:t xml:space="preserve">Structured notes from the prompt-lab grid (dev, n=60), from my side of the keyboard.</w:t>
      </w:r>
    </w:p>
    <w:p>
      <w:pPr>
        <w:spacing w:after="50" w:line="23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1. What I was trying to do</w:t>
      </w:r>
    </w:p>
    <w:p>
      <w:pPr>
        <w:spacing w:after="40" w:line="230"/>
        <w:ind w:left="18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b w:val="false"/>
          <w:bCs w:val="false"/>
          <w:sz w:val="18"/>
          <w:szCs w:val="18"/>
        </w:rPr>
        <w:t xml:space="preserve">Lab 1 gave me a working extractor. Lab 2 asked: is this the best version, or just the one I happened to try?</w:t>
      </w:r>
    </w:p>
    <w:p>
      <w:pPr>
        <w:spacing w:after="40" w:line="230"/>
        <w:ind w:left="18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b w:val="false"/>
          <w:bCs w:val="false"/>
          <w:sz w:val="18"/>
          <w:szCs w:val="18"/>
        </w:rPr>
        <w:t xml:space="preserve">I ran a grid: zero-shot / few-shot / few-shot+reasoning × SMALL / MAIN, plus a cascade (SMALL first, MAIN if unsure).</w:t>
      </w:r>
    </w:p>
    <w:p>
      <w:pPr>
        <w:spacing w:after="40" w:line="230"/>
        <w:ind w:left="18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b w:val="false"/>
          <w:bCs w:val="false"/>
          <w:sz w:val="18"/>
          <w:szCs w:val="18"/>
        </w:rPr>
        <w:t xml:space="preserve">I measured quality, cost, and latency together — not accuracy alone.</w:t>
      </w:r>
    </w:p>
    <w:p>
      <w:pPr>
        <w:spacing w:after="100" w:line="230"/>
        <w:ind w:left="18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b w:val="false"/>
          <w:bCs w:val="false"/>
          <w:sz w:val="18"/>
          <w:szCs w:val="18"/>
        </w:rPr>
        <w:t xml:space="preserve">I used paired tests so a 3–5 point bump on 60 tickets would not get over-read.</w:t>
      </w:r>
    </w:p>
    <w:p>
      <w:pPr>
        <w:spacing w:after="50" w:line="23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2. Grid observations (what the table actually showed)</w:t>
      </w:r>
    </w:p>
    <w:p>
      <w:pPr>
        <w:spacing w:after="40" w:line="230"/>
        <w:ind w:left="18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zero_shot SMALL: </w:t>
      </w:r>
      <w:r>
        <w:rPr>
          <w:rFonts w:ascii="Calibri" w:cs="Calibri" w:eastAsia="Calibri" w:hAnsi="Calibri"/>
          <w:b w:val="false"/>
          <w:bCs w:val="false"/>
          <w:sz w:val="18"/>
          <w:szCs w:val="18"/>
        </w:rPr>
        <w:t xml:space="preserve">record ~0.30, field ~0.87, schema 1.0. Cheap baseline; fully reliable when not rate-limited.</w:t>
      </w:r>
    </w:p>
    <w:p>
      <w:pPr>
        <w:spacing w:after="40" w:line="230"/>
        <w:ind w:left="18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few_shot SMALL: </w:t>
      </w:r>
      <w:r>
        <w:rPr>
          <w:rFonts w:ascii="Calibri" w:cs="Calibri" w:eastAsia="Calibri" w:hAnsi="Calibri"/>
          <w:b w:val="false"/>
          <w:bCs w:val="false"/>
          <w:sz w:val="18"/>
          <w:szCs w:val="18"/>
        </w:rPr>
        <w:t xml:space="preserve">record ~0.39, field ~0.88. Point estimate higher; paired vs zero_shot p≈0.42 → not significant.</w:t>
      </w:r>
    </w:p>
    <w:p>
      <w:pPr>
        <w:spacing w:after="40" w:line="230"/>
        <w:ind w:left="18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few_shot_reasoned SMALL: </w:t>
      </w:r>
      <w:r>
        <w:rPr>
          <w:rFonts w:ascii="Calibri" w:cs="Calibri" w:eastAsia="Calibri" w:hAnsi="Calibri"/>
          <w:b w:val="false"/>
          <w:bCs w:val="false"/>
          <w:sz w:val="18"/>
          <w:szCs w:val="18"/>
        </w:rPr>
        <w:t xml:space="preserve">record ~0.43, field ~0.90. Best point estimates; paired p≈0.29 → still noise. Extra tokens, no clear win.</w:t>
      </w:r>
    </w:p>
    <w:p>
      <w:pPr>
        <w:spacing w:after="40" w:line="230"/>
        <w:ind w:left="18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MAIN variants: </w:t>
      </w:r>
      <w:r>
        <w:rPr>
          <w:rFonts w:ascii="Calibri" w:cs="Calibri" w:eastAsia="Calibri" w:hAnsi="Calibri"/>
          <w:b w:val="false"/>
          <w:bCs w:val="false"/>
          <w:sz w:val="18"/>
          <w:szCs w:val="18"/>
        </w:rPr>
        <w:t xml:space="preserve">mostly failed (90–100% errors) on free-tier daily quota. Not a fair model comparison — infrastructure failure, not “MAIN is worse”.</w:t>
      </w:r>
    </w:p>
    <w:p>
      <w:pPr>
        <w:spacing w:after="40" w:line="230"/>
        <w:ind w:left="18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cascade: </w:t>
      </w:r>
      <w:r>
        <w:rPr>
          <w:rFonts w:ascii="Calibri" w:cs="Calibri" w:eastAsia="Calibri" w:hAnsi="Calibri"/>
          <w:b w:val="false"/>
          <w:bCs w:val="false"/>
          <w:sz w:val="18"/>
          <w:szCs w:val="18"/>
        </w:rPr>
        <w:t xml:space="preserve">escalation rate 0%. Matched zero_shot on every item. My trigger (failed validation or evidence &lt; 12 chars) never fired on the completed run.</w:t>
      </w:r>
    </w:p>
    <w:p>
      <w:pPr>
        <w:spacing w:after="50" w:line="23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3. Error patterns I kept seeing (confusion-style)</w:t>
      </w:r>
    </w:p>
    <w:p>
      <w:pPr>
        <w:spacing w:after="50" w:line="2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8"/>
          <w:szCs w:val="18"/>
        </w:rPr>
        <w:t xml:space="preserve">I did not get a full printed confusion matrix from the harness, but reading failures and per-field scores, the mistakes clustered the same way every time:</w:t>
      </w:r>
    </w:p>
    <w:p>
      <w:pPr>
        <w:spacing w:after="40" w:line="230"/>
        <w:ind w:left="18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Urgency (worst field): </w:t>
      </w:r>
      <w:r>
        <w:rPr>
          <w:rFonts w:ascii="Calibri" w:cs="Calibri" w:eastAsia="Calibri" w:hAnsi="Calibri"/>
          <w:b w:val="false"/>
          <w:bCs w:val="false"/>
          <w:sz w:val="18"/>
          <w:szCs w:val="18"/>
        </w:rPr>
        <w:t xml:space="preserve">off-by-one at the official boundaries. 1↔2 (can this be answered without opening the customer record?) and 2↔3 (already stuck vs first-time defect). Not random scatter — systematic boundary confusion.</w:t>
      </w:r>
    </w:p>
    <w:p>
      <w:pPr>
        <w:spacing w:after="50" w:line="2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8"/>
          <w:szCs w:val="18"/>
        </w:rPr>
        <w:t xml:space="preserve">Possible reasons: the model reacts to tone/length; the gold scale is situation-based. Shouting is sentiment, not urgency — easy to mix up without the decision question in front of the model every time.</w:t>
      </w:r>
    </w:p>
    <w:p>
      <w:pPr>
        <w:spacing w:after="40" w:line="230"/>
        <w:ind w:left="18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Category — complaint vs concrete: </w:t>
      </w:r>
      <w:r>
        <w:rPr>
          <w:rFonts w:ascii="Calibri" w:cs="Calibri" w:eastAsia="Calibri" w:hAnsi="Calibri"/>
          <w:b w:val="false"/>
          <w:bCs w:val="false"/>
          <w:sz w:val="18"/>
          <w:szCs w:val="18"/>
        </w:rPr>
        <w:t xml:space="preserve">angry claims/billing tickets often pulled toward complaint. Gold rule: prefer the concrete category if the customer still wants that issue fixed; complaint only when Aurora’s conduct is the subject.</w:t>
      </w:r>
    </w:p>
    <w:p>
      <w:pPr>
        <w:spacing w:after="50" w:line="2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8"/>
          <w:szCs w:val="18"/>
        </w:rPr>
        <w:t xml:space="preserve">Possible reasons: anger is a strong surface signal; the boundary is subtle and needs explicit “prefer concrete” pressure in the schema/prompt.</w:t>
      </w:r>
    </w:p>
    <w:p>
      <w:pPr>
        <w:spacing w:after="40" w:line="230"/>
        <w:ind w:left="18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Sentiment — neutral vs frustrated: </w:t>
      </w:r>
      <w:r>
        <w:rPr>
          <w:rFonts w:ascii="Calibri" w:cs="Calibri" w:eastAsia="Calibri" w:hAnsi="Calibri"/>
          <w:b w:val="false"/>
          <w:bCs w:val="false"/>
          <w:sz w:val="18"/>
          <w:szCs w:val="18"/>
        </w:rPr>
        <w:t xml:space="preserve">first-time terse requests sometimes marked frustrated; tickets that mention prior delay sometimes left neutral.</w:t>
      </w:r>
    </w:p>
    <w:p>
      <w:pPr>
        <w:spacing w:after="50" w:line="2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8"/>
          <w:szCs w:val="18"/>
        </w:rPr>
        <w:t xml:space="preserve">Possible reasons: gold requires frustrated to reference a prior failure. Without that anchor, any complaint-shaped language looks frustrated.</w:t>
      </w:r>
    </w:p>
    <w:p>
      <w:pPr>
        <w:spacing w:after="40" w:line="230"/>
        <w:ind w:left="18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Deterministic fields (policy_number, product, language): </w:t>
      </w:r>
      <w:r>
        <w:rPr>
          <w:rFonts w:ascii="Calibri" w:cs="Calibri" w:eastAsia="Calibri" w:hAnsi="Calibri"/>
          <w:b w:val="false"/>
          <w:bCs w:val="false"/>
          <w:sz w:val="18"/>
          <w:szCs w:val="18"/>
        </w:rPr>
        <w:t xml:space="preserve">stayed near-perfect once moved out of the model in Lab 1. Errors here were rare and usually data-edge, not judgement.</w:t>
      </w:r>
    </w:p>
    <w:p>
      <w:pPr>
        <w:spacing w:after="50" w:line="23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4. What surprised me / negative results</w:t>
      </w:r>
    </w:p>
    <w:p>
      <w:pPr>
        <w:spacing w:after="40" w:line="230"/>
        <w:ind w:left="18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b w:val="false"/>
          <w:bCs w:val="false"/>
          <w:sz w:val="18"/>
          <w:szCs w:val="18"/>
        </w:rPr>
        <w:t xml:space="preserve">Few-shot did not “obviously” win once I ran the paired test. Higher raw accuracy is not the same as a deployable improvement.</w:t>
      </w:r>
    </w:p>
    <w:p>
      <w:pPr>
        <w:spacing w:after="40" w:line="230"/>
        <w:ind w:left="18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b w:val="false"/>
          <w:bCs w:val="false"/>
          <w:sz w:val="18"/>
          <w:szCs w:val="18"/>
        </w:rPr>
        <w:t xml:space="preserve">Reasoning field: more tokens, no significant accuracy gain on this set.</w:t>
      </w:r>
    </w:p>
    <w:p>
      <w:pPr>
        <w:spacing w:after="40" w:line="230"/>
        <w:ind w:left="18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b w:val="false"/>
          <w:bCs w:val="false"/>
          <w:sz w:val="18"/>
          <w:szCs w:val="18"/>
        </w:rPr>
        <w:t xml:space="preserve">Cascade with a weak free trigger can look sophisticated and still be pure SMALL (escalation 0%).</w:t>
      </w:r>
    </w:p>
    <w:p>
      <w:pPr>
        <w:spacing w:after="100" w:line="230"/>
        <w:ind w:left="18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b w:val="false"/>
          <w:bCs w:val="false"/>
          <w:sz w:val="18"/>
          <w:szCs w:val="18"/>
        </w:rPr>
        <w:t xml:space="preserve">Rate limits can fake a quality story if you do not separate “model wrong” from “call never happened.”</w:t>
      </w:r>
    </w:p>
    <w:p>
      <w:pPr>
        <w:spacing w:after="50" w:line="23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5. Recommendation (from my perspective)</w:t>
      </w:r>
    </w:p>
    <w:p>
      <w:pPr>
        <w:spacing w:after="40" w:line="230"/>
        <w:ind w:left="18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Ship zero_shot on SMALL </w:t>
      </w:r>
      <w:r>
        <w:rPr>
          <w:rFonts w:ascii="Calibri" w:cs="Calibri" w:eastAsia="Calibri" w:hAnsi="Calibri"/>
          <w:b w:val="false"/>
          <w:bCs w:val="false"/>
          <w:sz w:val="18"/>
          <w:szCs w:val="18"/>
        </w:rPr>
        <w:t xml:space="preserve">(Lab 1 Part C: model only for judgement fields; code for policy number, PII, escalate).</w:t>
      </w:r>
    </w:p>
    <w:p>
      <w:pPr>
        <w:spacing w:after="40" w:line="230"/>
        <w:ind w:left="18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b w:val="false"/>
          <w:bCs w:val="false"/>
          <w:sz w:val="18"/>
          <w:szCs w:val="18"/>
        </w:rPr>
        <w:t xml:space="preserve">Reason: nothing beat it with statistical support; cost and simplicity win.</w:t>
      </w:r>
    </w:p>
    <w:p>
      <w:pPr>
        <w:spacing w:after="80" w:line="230"/>
        <w:ind w:left="18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b w:val="false"/>
          <w:bCs w:val="false"/>
          <w:sz w:val="18"/>
          <w:szCs w:val="18"/>
        </w:rPr>
        <w:t xml:space="preserve">I would change my mind if: a clean MAIN run, or a cascade with a stronger disagreement trigger (e.g. two SMALL samples at T&gt;0), showed a paired-significant accuracy gain large enough to pay for the extra cost.</w:t>
      </w:r>
    </w:p>
    <w:p>
      <w:pPr>
        <w:spacing w:after="40" w:line="230"/>
      </w:pPr>
      <w:r>
        <w:rPr>
          <w:rFonts w:ascii="Calibri" w:cs="Calibri" w:eastAsia="Calibri" w:hAnsi="Calibri"/>
          <w:b w:val="false"/>
          <w:bCs w:val="false"/>
          <w:i/>
          <w:iCs/>
          <w:sz w:val="17"/>
          <w:szCs w:val="17"/>
        </w:rPr>
        <w:t xml:space="preserve">Bottom line: the harness mattered more than any single prompt. Once the numbers were honest, the shipping decision was mostly “choose on cost.”</w:t>
      </w:r>
    </w:p>
    <w:sectPr>
      <w:headerReference w:type="default" r:id="rId7"/>
      <w:footerReference w:type="default" r:id="rId8"/>
      <w:pgSz w:w="11906" w:h="16838" w:orient="portrait"/>
      <w:pgMar w:top="500" w:right="650" w:bottom="480" w:left="6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5"/>
        <w:szCs w:val="15"/>
      </w:rPr>
      <w:t xml:space="preserve">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666666"/>
        <w:sz w:val="15"/>
        <w:szCs w:val="15"/>
      </w:rPr>
      <w:t xml:space="preserve">AI in Practice · Lab 2 · Personal summary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2026-09-16T18:22:32.860Z</dcterms:created>
  <dcterms:modified xsi:type="dcterms:W3CDTF">2026-09-16T18:22:32.860Z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