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Times New Roman" w:hAnsi="Times New Roman"/>
          <w:b/>
          <w:sz w:val="32"/>
        </w:rPr>
        <w:t>Глава 3. Проектирование и разработка информационной системы «Benefit Market»</w:t>
      </w:r>
    </w:p>
    <w:p>
      <w:pPr>
        <w:spacing w:before="480" w:after="240"/>
        <w:jc w:val="left"/>
      </w:pPr>
      <w:r>
        <w:rPr>
          <w:rFonts w:ascii="Times New Roman" w:hAnsi="Times New Roman"/>
          <w:b/>
          <w:sz w:val="32"/>
        </w:rPr>
        <w:t>3.1. Архитектура приложения</w:t>
      </w:r>
    </w:p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3.1.1. Текущая архитектура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Система реализована как монолитное full-stack веб-приложение на базе фреймворка Next.js 16 с использованием паттерна App Router. Выбор монолитной архитектуры обусловлен масштабом MVP-версии продукта: единая кодовая база упрощает разработку, отладку и развёртывание на начальном этапе.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Приложение разделено на три логических слоя: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Презентационный слой — React-компоненты с разделением на серверные (загрузка данных, SSR) и клиентские (интерактивность). Управление серверным состоянием осуществляется через TanStack React Query, клиентским — через Zustand.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Слой бизнес-логики — сервисы (order.service, analytics.service, accrual.service), доменные правила (evaluator элигибильности), Zod-валидация входных данных на границах системы.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Слой данных — PostgreSQL с Row-Level Security (RLS), обеспечивающей мультитенантную изоляцию на уровне СУБД. Аутентификация через JWT-токены Supabase Auth. 56 API-маршрутов реализованы как Next.js Route Handlers.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Взаимодействие между слоями: клиент отправляет HTTPS/JSON-запросы к серверному слою Next.js, который через Middleware выполняет аутентификацию и проверку ролей (RBAC). Далее запрос передаётся в сервисный слой, обращающийся к PostgreSQL через Supabase-клиент. В продуктивной среде перед Next.js стоит Caddy в роли reverse-proxy с автоматическим SSL-терминированием.</w:t>
      </w:r>
    </w:p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3.1.2. Целевая архитектура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этапе масштабирования планируется переход к модульному монолиту с выделением bounded contexts. Переход выполняется без изменения инфраструктуры: модули выделяются как пакеты внутри монорепозитория, взаимодействуют через типизированные интерфейсы. При необходимости горизонтального масштабирования модули могут быть вынесены в отдельные микросервисы.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Ответственность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 выделения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benefits-core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Каталог льгот, правила элигибильности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Высокая частота изменений бизнес-правил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marketplace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Провайдеры, офферинги, отзывы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Независимый цикл разработки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billing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Кошельки, начисления, списания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Транзакционная целостность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identity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Аутентификация, RBAC, профили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Интеграция с корпоративным SSO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integration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Коннекторы HRIS / 1С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Изоляция внешних зависимостей</w:t>
            </w:r>
          </w:p>
        </w:tc>
      </w:tr>
    </w:tbl>
    <w:p/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3.1.3. Стек технологий и обоснование выбора</w:t>
      </w:r>
    </w:p>
    <w:p>
      <w:pPr>
        <w:jc w:val="both"/>
      </w:pPr>
      <w:r>
        <w:rPr>
          <w:rFonts w:ascii="Times New Roman" w:hAnsi="Times New Roman"/>
          <w:b/>
          <w:sz w:val="28"/>
        </w:rPr>
        <w:t>Серверная часть: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Next.js (App Router)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16.1.6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Гибридный рендеринг (SSR/CSR), встроенные API Routes, Turbopack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TypeScript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5.x (strict)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Сквозная типизация от БД до UI, Zod-валидация на границах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Supabase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2.97.0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Управляемый PostgreSQL, JWT-аутентификация, RLS-политики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PostgreSQL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15+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JSONB, Row-Level Security, расширяемость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Node.js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20 LTS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Долгосрочная поддержка, единый язык клиент/сервер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Клиентская часть: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React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19.2.3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Server Components, Concurrent-рендеринг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shadcn/ui + Radix UI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1.4.3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Доступность (WCAG 2.1), headless-компоненты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Tailwind CSS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4.x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Utility-first, tree-shaking, минимальный CSS-бандл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TanStack React Query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5.90.21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Кеширование, фоновая ревалидация, инвалидация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Zustand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5.0.11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Минимальный стор с persist-middleware для корзины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Recharts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3.7.0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Декларативные React-графики для аналитики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Инфраструктура: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Docker (multi-stage, Alpine)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Воспроизводимые сборки, standalone-образ ~50 МБ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Caddy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Автоматический HTTPS (Let's Encrypt), HTTP/2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GitHub Actions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CI/CD: lint → typecheck → test → build → deploy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Vitest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Быстрое выполнение тестов, совместимость с TypeScript</w:t>
            </w:r>
          </w:p>
        </w:tc>
      </w:tr>
    </w:tbl>
    <w:p/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3.1.4. Схема базы данных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База данных содержит 18 таблиц, 8 пользовательских ENUM-типов и 37 RLS-политик. Данные организованы в 5 логических групп.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Таблицы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Ядро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tenants, users, employee_profiles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Мультитенантность, учётные записи, атрибуты сотрудников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Льготы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benefits, benefit_categories, eligibility_rules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Каталог с JSONB-правилами элигибильности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Финансы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budget_policies, wallets, point_ledger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Начисление баллов, резервирование, аудит операций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Заказы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orders, order_items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Жизненный цикл: pending → reserved → paid / cancelled / expired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Маркетплейс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providers, provider_offerings, tenant_offerings, reviews, provider_users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Провайдеры, модерация, подключение к тенантам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Аудит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audit_log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Журнал действий с JSONB-diff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ENUM-типы, используемые в базе данных: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Значения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user_role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employee, hr, admin, provider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order_status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pending, reserved, paid, cancelled, expired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ledger_type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accrual, reserve, spend, release, expire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budget_period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monthly, quarterly, yearly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provider_status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pending, verified, suspended, rejected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offering_status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draft, pending_review, published, archived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review_status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visible, hidden, flagged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provider_user_role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owner, admin, member</w:t>
            </w:r>
          </w:p>
        </w:tc>
      </w:tr>
    </w:tbl>
    <w:p/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3.1.5. Интеграции (HRIS / 1С)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текущем этапе реализован импорт сотрудников из CSV-файлов (/api/import/employees) с парсингом через библиотеку PapaParser. Это покрывает сценарий первичной загрузки данных из внешних систем.</w:t>
      </w:r>
    </w:p>
    <w:p>
      <w:pPr>
        <w:jc w:val="both"/>
      </w:pPr>
      <w:r>
        <w:rPr>
          <w:rFonts w:ascii="Times New Roman" w:hAnsi="Times New Roman"/>
          <w:b/>
          <w:sz w:val="28"/>
        </w:rPr>
        <w:t>Планируемые интеграции: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Система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Способ интеграции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Данные</w:t>
            </w:r>
          </w:p>
        </w:tc>
        <w:tc>
          <w:tcPr>
            <w:tcW w:type="dxa" w:w="233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1С:ЗУП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REST API / выгрузка CSV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Сотрудники, грейды, подразделения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HRIS (SAP SF, BambooHR)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Webhook / REST API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Профили, орг. структура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Средний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SSO (SAML 2.0 / OIDC)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Supabase Auth Provider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Аутентификация через корп. IdP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Платёжные системы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REST API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Подтверждение оплаты, статусы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Средний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Архитектурно интеграции будут изолированы в модуле integration с паттерном Adapter, что позволит подключать новые внешние системы без изменения ядра.</w:t>
      </w:r>
    </w:p>
    <w:p>
      <w:pPr>
        <w:spacing w:before="480" w:after="240"/>
        <w:jc w:val="left"/>
      </w:pPr>
      <w:r>
        <w:rPr>
          <w:rFonts w:ascii="Times New Roman" w:hAnsi="Times New Roman"/>
          <w:b/>
          <w:sz w:val="32"/>
        </w:rPr>
        <w:t>3.2. Оценка и планирование разработки</w:t>
      </w:r>
    </w:p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3.2.1. Методология разработки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Разработка ведётся по методологии Agile с использованием фреймворка Scrum. Длительность спринта — 2 недели. Управление задачами осуществляется через GitHub Issues и Beads (git-backed issue tracker). Контроль версий — Git с trunk-based development и feature-ветками.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Длительность спринта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 недели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Инструмент управления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GitHub Issues + Beads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Контроль версий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Git (GitHub), trunk-based development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CI/CD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GitHub Actions (lint → typecheck → test → build → deploy)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Ревью кода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Pull Request с обязательным прохождением CI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Scrum-церемонии: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Sprint Planning: начало спринта, декомпозиция задач из бэклога;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Daily Standup: синхронизация по блокерам;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Sprint Review: демонстрация результатов спринта;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Retrospective: анализ процесса и улучшения.</w:t>
      </w:r>
    </w:p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3.2.2. Состав команды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Ответственность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Product Owner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Приоритизация бэклога, приёмка результатов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Full-stack разработчик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Реализация фронтенда и бэкенда, код-ревью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UI/UX дизайнер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Макеты в Figma, дизайн-система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Научный руководитель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Контроль соответствия требованиям ВКР</w:t>
            </w:r>
          </w:p>
        </w:tc>
      </w:tr>
    </w:tbl>
    <w:p/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3.2.3. Декомпозиция задач: бэклог по эпикам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Бэклог проекта декомпозирован на 6 эпиков, каждый из которых покрывает функциональную область системы. Оценка трудозатрат выполнена в Story Points по шкале Фибоначчи.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Эпик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Story Points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Спринт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E1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Инфраструктура и каркас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Завершён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Инициализация проекта (Next.js, TS, Tailwind)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Схема БД и миграции (18 таблиц, RLS)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Аутентификация (Supabase Auth, RBAC)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E2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Ядро системы льгот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2–3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Завершён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Каталог льгот (CRUD, категории, фильтрация)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Правила элигибильности (JSONB, evaluator)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Бюджетные политики и начисление баллов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Кошельки и журнал операций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Заказы и корзина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3–4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Завершён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Корзина (Zustand, localStorage persist)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Жизненный цикл заказа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Резервирование и списание баллов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Автоэкспирация заказов (15 мин)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E4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Маркетплейс провайдеров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4–5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Завершён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Регистрация и модерация провайдеров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CRUD офферингов (draft → published)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Подключение офферингов к тенанту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Система отзывов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Панель провайдера (аналитика, команда)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Дашборды и аналитика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5–6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Завершён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Дашборд сотрудника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Дашборд HR (Recharts)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Дашборд администратора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Импорт сотрудников из CSV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Инфраструктура деплоя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Завершён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Docker multi-stage build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CI/CD (GitHub Actions)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— Продуктивная среда (Caddy, VPS)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Итого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89 SP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 спринтов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/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3.2.4.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Спринт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Недели 1–2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E1: Инфраструктура и каркас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Недели 3–4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E2: Ядро системы льгот (ч.1)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Недели 5–6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E2 + E3: Ядро (ч.2) + Заказы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Недели 7–8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E3 + E4: Заказы + Маркетплейс (ч.1)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Недели 9–10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E4 + E5: Маркетплейс (ч.2) + Дашборды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Недели 11–12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E5 + E6: Дашборды + Деплой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Следующий этап развития (после MVP):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интеграция с 1С:ЗУП и корпоративными HRIS-системами;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SSO через SAML 2.0 / OpenID Connect;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интернационализация (i18n) интерфейса;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переход к модульному монолиту;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мобильное приложение (React Native);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— нагрузочное тестирование и оптимизация.</w:t>
      </w:r>
    </w:p>
    <w:p>
      <w:pPr>
        <w:spacing w:before="360" w:after="160"/>
        <w:jc w:val="left"/>
      </w:pPr>
      <w:r>
        <w:rPr>
          <w:rFonts w:ascii="Times New Roman" w:hAnsi="Times New Roman"/>
          <w:b/>
          <w:sz w:val="28"/>
        </w:rPr>
        <w:t>3.2.5. Метрики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API-маршрутов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Таблиц в БД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RLS-политик безопасности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UI-компонентов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React-хуков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Сервисов бизнес-логики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Миграций БД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GitHub Actions workflows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Production-зависимостей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Ролей пользователей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