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24AD" w14:textId="5277733B" w:rsidR="00F70392" w:rsidRPr="005519F0" w:rsidRDefault="005519F0" w:rsidP="005519F0">
      <w:pPr>
        <w:jc w:val="center"/>
        <w:rPr>
          <w:b/>
          <w:bCs/>
          <w:sz w:val="24"/>
          <w:szCs w:val="24"/>
          <w:lang w:val="es-ES"/>
        </w:rPr>
      </w:pPr>
      <w:r w:rsidRPr="005519F0">
        <w:rPr>
          <w:b/>
          <w:bCs/>
          <w:sz w:val="24"/>
          <w:szCs w:val="24"/>
          <w:lang w:val="es-ES"/>
        </w:rPr>
        <w:t xml:space="preserve">PROJECT REPORT </w:t>
      </w:r>
    </w:p>
    <w:p w14:paraId="4B8C87DB" w14:textId="6944CC33" w:rsidR="005519F0" w:rsidRPr="005519F0" w:rsidRDefault="005519F0" w:rsidP="005519F0">
      <w:pPr>
        <w:jc w:val="center"/>
        <w:rPr>
          <w:b/>
          <w:bCs/>
          <w:sz w:val="24"/>
          <w:szCs w:val="24"/>
          <w:lang w:val="es-ES"/>
        </w:rPr>
      </w:pPr>
    </w:p>
    <w:p w14:paraId="0F5AB319" w14:textId="47DDB2C1" w:rsidR="005519F0" w:rsidRPr="005519F0" w:rsidRDefault="005519F0" w:rsidP="005519F0">
      <w:pPr>
        <w:pStyle w:val="Prrafodelista"/>
        <w:numPr>
          <w:ilvl w:val="0"/>
          <w:numId w:val="1"/>
        </w:numPr>
        <w:jc w:val="both"/>
        <w:rPr>
          <w:b/>
          <w:bCs/>
          <w:sz w:val="24"/>
          <w:szCs w:val="24"/>
          <w:lang w:val="es-ES"/>
        </w:rPr>
      </w:pPr>
      <w:r w:rsidRPr="005519F0">
        <w:rPr>
          <w:b/>
          <w:bCs/>
          <w:sz w:val="24"/>
          <w:szCs w:val="24"/>
          <w:lang w:val="es-ES"/>
        </w:rPr>
        <w:t>Describe the problem.</w:t>
      </w:r>
    </w:p>
    <w:p w14:paraId="1F1F6983" w14:textId="12014A7F" w:rsidR="005519F0" w:rsidRDefault="005519F0" w:rsidP="005519F0">
      <w:pPr>
        <w:jc w:val="both"/>
        <w:rPr>
          <w:sz w:val="24"/>
          <w:szCs w:val="24"/>
          <w:lang w:val="es-ES"/>
        </w:rPr>
      </w:pPr>
      <w:r w:rsidRPr="005519F0">
        <w:rPr>
          <w:sz w:val="24"/>
          <w:szCs w:val="24"/>
          <w:lang w:val="es-ES"/>
        </w:rPr>
        <w:t>The effect of dose of mineral nutrition</w:t>
      </w:r>
      <w:r>
        <w:rPr>
          <w:sz w:val="24"/>
          <w:szCs w:val="24"/>
          <w:lang w:val="es-ES"/>
        </w:rPr>
        <w:t xml:space="preserve"> applied to the soil</w:t>
      </w:r>
      <w:r w:rsidRPr="005519F0">
        <w:rPr>
          <w:sz w:val="24"/>
          <w:szCs w:val="24"/>
          <w:lang w:val="es-ES"/>
        </w:rPr>
        <w:t xml:space="preserve"> on total chlorophyll content is unknown</w:t>
      </w:r>
      <w:r w:rsidRPr="005519F0">
        <w:rPr>
          <w:sz w:val="24"/>
          <w:szCs w:val="24"/>
          <w:lang w:val="es-ES"/>
        </w:rPr>
        <w:t xml:space="preserve"> in purple passion fruit (</w:t>
      </w:r>
      <w:r w:rsidRPr="005519F0">
        <w:rPr>
          <w:i/>
          <w:iCs/>
          <w:sz w:val="24"/>
          <w:szCs w:val="24"/>
          <w:lang w:val="es-ES"/>
        </w:rPr>
        <w:t>Passiflora edulis Sims</w:t>
      </w:r>
      <w:r w:rsidRPr="005519F0">
        <w:rPr>
          <w:sz w:val="24"/>
          <w:szCs w:val="24"/>
          <w:lang w:val="es-ES"/>
        </w:rPr>
        <w:t>)</w:t>
      </w:r>
      <w:r w:rsidR="005C677C">
        <w:rPr>
          <w:sz w:val="24"/>
          <w:szCs w:val="24"/>
          <w:lang w:val="es-ES"/>
        </w:rPr>
        <w:t xml:space="preserve"> under</w:t>
      </w:r>
      <w:r w:rsidR="005C677C" w:rsidRPr="005C677C">
        <w:rPr>
          <w:sz w:val="24"/>
          <w:szCs w:val="24"/>
          <w:lang w:val="es-ES"/>
        </w:rPr>
        <w:t xml:space="preserve"> production cycles</w:t>
      </w:r>
      <w:r w:rsidRPr="005519F0">
        <w:rPr>
          <w:sz w:val="24"/>
          <w:szCs w:val="24"/>
          <w:lang w:val="es-ES"/>
        </w:rPr>
        <w:t>.</w:t>
      </w:r>
      <w:r w:rsidRPr="005519F0">
        <w:rPr>
          <w:sz w:val="24"/>
          <w:szCs w:val="24"/>
          <w:lang w:val="es-ES"/>
        </w:rPr>
        <w:t xml:space="preserve"> </w:t>
      </w:r>
    </w:p>
    <w:p w14:paraId="7BCB8136" w14:textId="501AE139" w:rsidR="005519F0" w:rsidRDefault="005519F0" w:rsidP="005519F0">
      <w:pPr>
        <w:jc w:val="both"/>
        <w:rPr>
          <w:sz w:val="24"/>
          <w:szCs w:val="24"/>
          <w:lang w:val="es-ES"/>
        </w:rPr>
      </w:pPr>
    </w:p>
    <w:p w14:paraId="323F31A8" w14:textId="725D22F4" w:rsidR="005519F0" w:rsidRDefault="005519F0" w:rsidP="005519F0">
      <w:pPr>
        <w:pStyle w:val="Prrafodelista"/>
        <w:numPr>
          <w:ilvl w:val="0"/>
          <w:numId w:val="1"/>
        </w:numPr>
        <w:jc w:val="both"/>
        <w:rPr>
          <w:b/>
          <w:bCs/>
          <w:sz w:val="24"/>
          <w:szCs w:val="24"/>
          <w:lang w:val="es-ES"/>
        </w:rPr>
      </w:pPr>
      <w:r>
        <w:rPr>
          <w:b/>
          <w:bCs/>
          <w:sz w:val="24"/>
          <w:szCs w:val="24"/>
          <w:lang w:val="es-ES"/>
        </w:rPr>
        <w:t xml:space="preserve">Methodology </w:t>
      </w:r>
    </w:p>
    <w:p w14:paraId="11223408" w14:textId="77777777" w:rsidR="00322EE0" w:rsidRPr="00322EE0" w:rsidRDefault="00322EE0" w:rsidP="00322EE0">
      <w:pPr>
        <w:jc w:val="both"/>
        <w:rPr>
          <w:sz w:val="24"/>
          <w:szCs w:val="24"/>
          <w:lang w:val="es-ES"/>
        </w:rPr>
      </w:pPr>
      <w:r w:rsidRPr="00322EE0">
        <w:rPr>
          <w:sz w:val="24"/>
          <w:szCs w:val="24"/>
          <w:lang w:val="es-ES"/>
        </w:rPr>
        <w:t>n a greenhouse of the National University of Colombia in Bogotá, 100 gulupa seedlings were transplanted in the young vegetative phenological stage (less than six internodes). The seedlings were left adapting to the environmental conditions of the greenhouse (25 ° C, 85% RH) for a month. Subsequently, five soil mineral fertilization treatments were applied randomly. Treatment 0 was the absence of the application of nutrients, doses 0.25 and 0.50 were the application of 25% and 50% of the ideal dose, dose 1 corresponded to the application of 100% of the recommended dosage and 1.5 was the application in excess of fertilizer, that is to say 150% of the recommended dose. Each treatment was applied to 25 plants.</w:t>
      </w:r>
    </w:p>
    <w:p w14:paraId="6832C942" w14:textId="07431981" w:rsidR="00322EE0" w:rsidRDefault="00322EE0" w:rsidP="00322EE0">
      <w:pPr>
        <w:jc w:val="both"/>
        <w:rPr>
          <w:sz w:val="24"/>
          <w:szCs w:val="24"/>
          <w:lang w:val="es-ES"/>
        </w:rPr>
      </w:pPr>
      <w:r w:rsidRPr="00322EE0">
        <w:rPr>
          <w:sz w:val="24"/>
          <w:szCs w:val="24"/>
          <w:lang w:val="es-ES"/>
        </w:rPr>
        <w:t>The calculation of the doses was made based on the recommendation for 1500 passion fruit plants</w:t>
      </w:r>
      <w:r>
        <w:rPr>
          <w:sz w:val="24"/>
          <w:szCs w:val="24"/>
          <w:lang w:val="es-ES"/>
        </w:rPr>
        <w:t xml:space="preserve"> (Haag </w:t>
      </w:r>
      <w:r>
        <w:rPr>
          <w:i/>
          <w:iCs/>
          <w:sz w:val="24"/>
          <w:szCs w:val="24"/>
          <w:lang w:val="es-ES"/>
        </w:rPr>
        <w:t xml:space="preserve">et al, </w:t>
      </w:r>
      <w:r>
        <w:rPr>
          <w:sz w:val="24"/>
          <w:szCs w:val="24"/>
          <w:lang w:val="es-ES"/>
        </w:rPr>
        <w:t>1973)</w:t>
      </w:r>
      <w:r w:rsidRPr="00322EE0">
        <w:rPr>
          <w:sz w:val="24"/>
          <w:szCs w:val="24"/>
          <w:lang w:val="es-ES"/>
        </w:rPr>
        <w:t>.</w:t>
      </w:r>
    </w:p>
    <w:p w14:paraId="34362A27" w14:textId="5D678975" w:rsidR="005C677C" w:rsidRPr="00322EE0" w:rsidRDefault="005C677C" w:rsidP="00322EE0">
      <w:pPr>
        <w:jc w:val="both"/>
        <w:rPr>
          <w:sz w:val="24"/>
          <w:szCs w:val="24"/>
          <w:lang w:val="es-ES"/>
        </w:rPr>
      </w:pPr>
      <w:r w:rsidRPr="005C677C">
        <w:rPr>
          <w:sz w:val="24"/>
          <w:szCs w:val="24"/>
          <w:lang w:val="es-ES"/>
        </w:rPr>
        <w:t>The cycles correspond to the harvest periods of the ripe fruits. In the experiment, only two production cycles were obtained, they were the blocking factor.</w:t>
      </w:r>
    </w:p>
    <w:p w14:paraId="7F5FC536" w14:textId="77777777" w:rsidR="00322EE0" w:rsidRPr="00322EE0" w:rsidRDefault="00322EE0" w:rsidP="00322EE0">
      <w:pPr>
        <w:jc w:val="both"/>
        <w:rPr>
          <w:sz w:val="24"/>
          <w:szCs w:val="24"/>
          <w:lang w:val="es-ES"/>
        </w:rPr>
      </w:pPr>
      <w:r w:rsidRPr="00322EE0">
        <w:rPr>
          <w:sz w:val="24"/>
          <w:szCs w:val="24"/>
          <w:lang w:val="es-ES"/>
        </w:rPr>
        <w:t>The spectral fingerprints were measured in the reproductive phenological state (production of ripe fruit). A leaf exposed to the sun and physiologically mature in fifteen (15) plants was selected. Measurement was performed with a DARWin SP-SR1900 Lawrence, MA USA spectroradiometer.</w:t>
      </w:r>
    </w:p>
    <w:p w14:paraId="181D9976" w14:textId="19A5045D" w:rsidR="00322EE0" w:rsidRDefault="00322EE0" w:rsidP="00322EE0">
      <w:pPr>
        <w:jc w:val="both"/>
        <w:rPr>
          <w:sz w:val="24"/>
          <w:szCs w:val="24"/>
          <w:lang w:val="es-ES"/>
        </w:rPr>
      </w:pPr>
      <w:r w:rsidRPr="00322EE0">
        <w:rPr>
          <w:sz w:val="24"/>
          <w:szCs w:val="24"/>
          <w:lang w:val="es-ES"/>
        </w:rPr>
        <w:t>In order to remotely obtain the chlorophyll detection spectral index</w:t>
      </w:r>
      <w:r w:rsidR="0015311B">
        <w:rPr>
          <w:sz w:val="24"/>
          <w:szCs w:val="24"/>
          <w:lang w:val="es-ES"/>
        </w:rPr>
        <w:t xml:space="preserve"> (response variable)</w:t>
      </w:r>
      <w:r w:rsidRPr="00322EE0">
        <w:rPr>
          <w:sz w:val="24"/>
          <w:szCs w:val="24"/>
          <w:lang w:val="es-ES"/>
        </w:rPr>
        <w:t>, the spectral fingerprint of the gulupa leaves evaluated by each treatment was constructed and the bands related to the reflectance of chlorophyll a were selected. According to the bibliography, the Lichtenthaler index LIC1</w:t>
      </w:r>
      <w:r>
        <w:rPr>
          <w:sz w:val="24"/>
          <w:szCs w:val="24"/>
          <w:lang w:val="es-ES"/>
        </w:rPr>
        <w:t xml:space="preserve"> </w:t>
      </w:r>
      <w:r>
        <w:rPr>
          <w:sz w:val="24"/>
          <w:szCs w:val="24"/>
          <w:lang w:val="es-ES"/>
        </w:rPr>
        <w:fldChar w:fldCharType="begin" w:fldLock="1"/>
      </w:r>
      <w:r>
        <w:rPr>
          <w:sz w:val="24"/>
          <w:szCs w:val="24"/>
          <w:lang w:val="es-ES"/>
        </w:rPr>
        <w:instrText>ADDIN CSL_CITATION {"citationItems":[{"id":"ITEM-1","itemData":{"DOI":"10.1016/j.jag.2019.04.002","ISSN":"1872826X","abstract":"Field spectroscopy is an accurate, rapid and nondestructive technique for monitoring of agricultural plant characteristics. Among these, identification of grapevine varieties is one of the most important factors in viticulture and wine industry. This study evaluated the discriminatory ability of field hyperspectral data and statistical techniques in case of five common grapevine varieties in the western of Iran. A total of 3000 spectral samples were acquired at leaf and canopy levels. Then, in order to identify the best approach, two types of hyperspectral data (wavelengths from 350 to 2500 nm and 32 spectral indices), two data reduction methods (PLSR and ANOVA-PCA) and two classification algorithms (LDA and SVM) were applied in a total of 16 scenarios. Results showed that the grapevine varieties were discriminated with overall accuracy of 89.88%–100% in test sets. Among the data reduction methods, the combination of ANOVA and PCA yielded higher performance as opposed to PLSR. Accordingly, optimal wavelengths in discrimination of studied grapevine varieties were located in vicinity of 695, 752, 1148, 1606 nm and 582, 687, 1154, 1927 nm at leaf and canopy levels, respectively. Optimal spectral indices were R680, WI, SGB and RATIO975_2, DattA, Greenness at leaf and canopy levels, respectively. Also, the importance of spectral regions in discriminating studied grapevine varieties was ranked as near-infrared &gt; mid-infrared and red edge region &gt; visible. As a general conclusion, the canopy-spectral indices-ANOVA-PCA-SVM scenario discriminated the studied species most accurately.","author":[{"dropping-particle":"","family":"Mirzaei","given":"Mohsen","non-dropping-particle":"","parse-names":false,"suffix":""},{"dropping-particle":"","family":"Marofi","given":"Safar","non-dropping-particle":"","parse-names":false,"suffix":""},{"dropping-particle":"","family":"Abbasi","given":"Mozhgan","non-dropping-particle":"","parse-names":false,"suffix":""},{"dropping-particle":"","family":"Solgi","given":"Eisa","non-dropping-particle":"","parse-names":false,"suffix":""},{"dropping-particle":"","family":"Karimi","given":"Rholah","non-dropping-particle":"","parse-names":false,"suffix":""},{"dropping-particle":"","family":"Verrelst","given":"Jochem","non-dropping-particle":"","parse-names":false,"suffix":""}],"container-title":"International Journal of Applied Earth Observation and Geoinformation","id":"ITEM-1","issued":{"date-parts":[["2019","8","1"]]},"page":"26-37","publisher":"Elsevier B.V.","title":"Scenario-based discrimination of common grapevine varieties using in-field hyperspectral data in the western of Iran","type":"article-journal","volume":"80"},"uris":["http://www.mendeley.com/documents/?uuid=ced5ba82-5da0-3b41-8b3f-d494469a530b"]}],"mendeley":{"formattedCitation":"(Mirzaei et al., 2019)","plainTextFormattedCitation":"(Mirzaei et al., 2019)","previouslyFormattedCitation":"(Mirzaei et al., 2019)"},"properties":{"noteIndex":0},"schema":"https://github.com/citation-style-language/schema/raw/master/csl-citation.json"}</w:instrText>
      </w:r>
      <w:r>
        <w:rPr>
          <w:sz w:val="24"/>
          <w:szCs w:val="24"/>
          <w:lang w:val="es-ES"/>
        </w:rPr>
        <w:fldChar w:fldCharType="separate"/>
      </w:r>
      <w:r w:rsidRPr="00322EE0">
        <w:rPr>
          <w:noProof/>
          <w:sz w:val="24"/>
          <w:szCs w:val="24"/>
          <w:lang w:val="es-ES"/>
        </w:rPr>
        <w:t>(Mirzaei et al., 2019)</w:t>
      </w:r>
      <w:r>
        <w:rPr>
          <w:sz w:val="24"/>
          <w:szCs w:val="24"/>
          <w:lang w:val="es-ES"/>
        </w:rPr>
        <w:fldChar w:fldCharType="end"/>
      </w:r>
      <w:r w:rsidRPr="00322EE0">
        <w:rPr>
          <w:sz w:val="24"/>
          <w:szCs w:val="24"/>
          <w:lang w:val="es-ES"/>
        </w:rPr>
        <w:t xml:space="preserve"> is calculated from the following formula:</w:t>
      </w:r>
    </w:p>
    <w:p w14:paraId="4B19F339" w14:textId="2264A6BA" w:rsidR="00322EE0" w:rsidRDefault="00322EE0" w:rsidP="00322EE0">
      <w:pPr>
        <w:jc w:val="center"/>
        <w:rPr>
          <w:sz w:val="24"/>
          <w:szCs w:val="24"/>
          <w:lang w:val="es-ES"/>
        </w:rPr>
      </w:pPr>
      <m:oMathPara>
        <m:oMath>
          <m:r>
            <w:rPr>
              <w:rFonts w:ascii="Cambria Math" w:hAnsi="Cambria Math"/>
              <w:sz w:val="24"/>
              <w:szCs w:val="24"/>
              <w:lang w:val="es-ES"/>
            </w:rPr>
            <m:t>LIC1=</m:t>
          </m:r>
          <m:f>
            <m:fPr>
              <m:ctrlPr>
                <w:rPr>
                  <w:rFonts w:ascii="Cambria Math" w:hAnsi="Cambria Math"/>
                  <w:i/>
                  <w:sz w:val="24"/>
                  <w:szCs w:val="24"/>
                  <w:lang w:val="es-ES"/>
                </w:rPr>
              </m:ctrlPr>
            </m:fPr>
            <m:num>
              <m:r>
                <w:rPr>
                  <w:rFonts w:ascii="Cambria Math" w:hAnsi="Cambria Math"/>
                  <w:sz w:val="24"/>
                  <w:szCs w:val="24"/>
                  <w:lang w:val="es-ES"/>
                </w:rPr>
                <m:t>R440</m:t>
              </m:r>
            </m:num>
            <m:den>
              <m:r>
                <w:rPr>
                  <w:rFonts w:ascii="Cambria Math" w:hAnsi="Cambria Math"/>
                  <w:sz w:val="24"/>
                  <w:szCs w:val="24"/>
                  <w:lang w:val="es-ES"/>
                </w:rPr>
                <m:t>R740</m:t>
              </m:r>
            </m:den>
          </m:f>
        </m:oMath>
      </m:oMathPara>
    </w:p>
    <w:p w14:paraId="2C1B0E6B" w14:textId="4892C923" w:rsidR="00322EE0" w:rsidRDefault="00322EE0" w:rsidP="00322EE0">
      <w:pPr>
        <w:jc w:val="both"/>
        <w:rPr>
          <w:sz w:val="24"/>
          <w:szCs w:val="24"/>
          <w:lang w:val="es-ES"/>
        </w:rPr>
      </w:pPr>
      <w:r w:rsidRPr="00322EE0">
        <w:rPr>
          <w:sz w:val="24"/>
          <w:szCs w:val="24"/>
          <w:lang w:val="es-ES"/>
        </w:rPr>
        <w:t>The R440 band corresponds to the blue spectrum and the R740 band corresponds to the far red of the light spectrum</w:t>
      </w:r>
    </w:p>
    <w:p w14:paraId="7A12CF31" w14:textId="30D16C0D" w:rsidR="005519F0" w:rsidRDefault="00322EE0" w:rsidP="00322EE0">
      <w:pPr>
        <w:jc w:val="both"/>
        <w:rPr>
          <w:sz w:val="24"/>
          <w:szCs w:val="24"/>
          <w:lang w:val="es-ES"/>
        </w:rPr>
      </w:pPr>
      <w:r w:rsidRPr="00322EE0">
        <w:rPr>
          <w:sz w:val="24"/>
          <w:szCs w:val="24"/>
          <w:lang w:val="es-ES"/>
        </w:rPr>
        <w:lastRenderedPageBreak/>
        <w:t xml:space="preserve">Values ​​lower than the average value of the readings made indicate a low concentration of chlorophyll, which can be related to low amounts of nitrogen (N) and phosphorus (P), in addition to other anomalies associated with </w:t>
      </w:r>
      <w:r w:rsidR="005C677C">
        <w:rPr>
          <w:sz w:val="24"/>
          <w:szCs w:val="24"/>
          <w:lang w:val="es-ES"/>
        </w:rPr>
        <w:t xml:space="preserve">low </w:t>
      </w:r>
      <w:r w:rsidRPr="00322EE0">
        <w:rPr>
          <w:sz w:val="24"/>
          <w:szCs w:val="24"/>
          <w:lang w:val="es-ES"/>
        </w:rPr>
        <w:t>photosynthesis</w:t>
      </w:r>
      <w:r>
        <w:rPr>
          <w:sz w:val="24"/>
          <w:szCs w:val="24"/>
          <w:lang w:val="es-ES"/>
        </w:rPr>
        <w:t xml:space="preserve"> </w:t>
      </w:r>
      <w:r>
        <w:rPr>
          <w:sz w:val="24"/>
          <w:szCs w:val="24"/>
          <w:lang w:val="es-ES"/>
        </w:rPr>
        <w:fldChar w:fldCharType="begin" w:fldLock="1"/>
      </w:r>
      <w:r w:rsidR="006E30EB">
        <w:rPr>
          <w:sz w:val="24"/>
          <w:szCs w:val="24"/>
          <w:lang w:val="es-ES"/>
        </w:rPr>
        <w:instrText>ADDIN CSL_CITATION {"citationItems":[{"id":"ITEM-1","itemData":{"DOI":"10.1016/j.isprsjprs.2020.09.006","ISSN":"09242716","abstract":"Spatial prediction of photosynthesis requires an understanding of how foliage nitrogen (N) and phosphorus (P) regulate this process and the relationship between these elements and scalable spectral proxies. Hyperspectral imagery has been used to predict important photosynthetic variables such as the maximum rate of carboxylation (Vcmax) and electron transport (Jmax). However, our understanding of how generally applicable these relationships are for plants that are limited by N and P, characterised by respective mass based ratios of N/P ≤ 10 and N/P &gt; 10, is still incomplete as most studies assume N and P co-limit photosynthesis. Hyperspectral imagery and measurements of photosynthesis were obtained from one-year old Pinus radiata D. Don, grown under a factorial combination of N and P treatments. Using these data, the objectives of this study were to (i) identify whether trees were co-limited or independently limited by N and P, and then use hyperspectral imagery to (ii) partition N and P limited trees, (iii) build models of N and P from a range of hyperspectral indices and (iv) explore links between key plant traits and both Vcmax and Jmax. Compared to the use of all data, which assumes co-limitation, markedly stronger relationships between N and P and photosynthetic capacity were obtained through splitting data at N/P = 10 (independent limitation) for both Vcmax (R2 = 0.40 vs. 0.59) and Jmax (R2 = 0.38 vs. 0.64). A random forest model was used to accurately partition N from P limited trees and the two main variables used within this model were Photochemical Reflectance Index (PRI) and Solar-Induced Chlorophyll Fluorescence (SIF). Using data from the P limiting phase, the most precise models of P were created using PRI (R2 = 0.75) and SIF (R2 = 0.52). Indices that were proxies for chlorophyll were the most precise predictors of N within the N limiting phase but strong positive relationships were also evident between N and both PRI (R2 = 0.83) and SIF (R2 = 0.57). Through their correlations with N and P, there were strong positive relationships between both SIF, PRI and Vcmax (R2 = 0.78 and 0.83, respectively) and Jmax (R2 = 0.80 and 0.83, respectively) that were generalisable across both N and P limiting ranges. These results suggest that quantified SIF and PRI from hyperspectral images may have greater precision and generality for predicting both foliage nutrition and biochemical limitations to photosynthesis than other widely used hyperspectral indices.","author":[{"dropping-particle":"","family":"Watt","given":"Michael S.","non-dropping-particle":"","parse-names":false,"suffix":""},{"dropping-particle":"","family":"Buddenbaum","given":"Henning","non-dropping-particle":"","parse-names":false,"suffix":""},{"dropping-particle":"","family":"Leonardo","given":"Ellen Mae C.","non-dropping-particle":"","parse-names":false,"suffix":""},{"dropping-particle":"","family":"Estarija","given":"Honey Jane C.","non-dropping-particle":"","parse-names":false,"suffix":""},{"dropping-particle":"","family":"Bown","given":"Horacio E.","non-dropping-particle":"","parse-names":false,"suffix":""},{"dropping-particle":"","family":"Gomez-Gallego","given":"Mireia","non-dropping-particle":"","parse-names":false,"suffix":""},{"dropping-particle":"","family":"Hartley","given":"Robin","non-dropping-particle":"","parse-names":false,"suffix":""},{"dropping-particle":"","family":"Massam","given":"Peter","non-dropping-particle":"","parse-names":false,"suffix":""},{"dropping-particle":"","family":"Wright","given":"Liam","non-dropping-particle":"","parse-names":false,"suffix":""},{"dropping-particle":"","family":"Zarco-Tejada","given":"Pablo J.","non-dropping-particle":"","parse-names":false,"suffix":""}],"container-title":"ISPRS Journal of Photogrammetry and Remote Sensing","id":"ITEM-1","issued":{"date-parts":[["2020","11","1"]]},"page":"406-420","publisher":"Elsevier B.V.","title":"Using hyperspectral plant traits linked to photosynthetic efficiency to assess N and P partition","type":"article-journal","volume":"169"},"uris":["http://www.mendeley.com/documents/?uuid=2466e092-7b78-319f-ba97-b12ba3de91e8"]}],"mendeley":{"formattedCitation":"(Watt et al., 2020)","plainTextFormattedCitation":"(Watt et al., 2020)","previouslyFormattedCitation":"(Watt et al., 2020)"},"properties":{"noteIndex":0},"schema":"https://github.com/citation-style-language/schema/raw/master/csl-citation.json"}</w:instrText>
      </w:r>
      <w:r>
        <w:rPr>
          <w:sz w:val="24"/>
          <w:szCs w:val="24"/>
          <w:lang w:val="es-ES"/>
        </w:rPr>
        <w:fldChar w:fldCharType="separate"/>
      </w:r>
      <w:r w:rsidRPr="00322EE0">
        <w:rPr>
          <w:noProof/>
          <w:sz w:val="24"/>
          <w:szCs w:val="24"/>
          <w:lang w:val="es-ES"/>
        </w:rPr>
        <w:t>(Watt et al., 2020)</w:t>
      </w:r>
      <w:r>
        <w:rPr>
          <w:sz w:val="24"/>
          <w:szCs w:val="24"/>
          <w:lang w:val="es-ES"/>
        </w:rPr>
        <w:fldChar w:fldCharType="end"/>
      </w:r>
      <w:r w:rsidRPr="00322EE0">
        <w:rPr>
          <w:sz w:val="24"/>
          <w:szCs w:val="24"/>
          <w:lang w:val="es-ES"/>
        </w:rPr>
        <w:t>.</w:t>
      </w:r>
    </w:p>
    <w:p w14:paraId="774433F0" w14:textId="4FCA6168" w:rsidR="005C677C" w:rsidRDefault="005C677C" w:rsidP="00322EE0">
      <w:pPr>
        <w:jc w:val="both"/>
        <w:rPr>
          <w:sz w:val="24"/>
          <w:szCs w:val="24"/>
          <w:lang w:val="es-ES"/>
        </w:rPr>
      </w:pPr>
      <w:r w:rsidRPr="005C677C">
        <w:rPr>
          <w:sz w:val="24"/>
          <w:szCs w:val="24"/>
          <w:lang w:val="es-ES"/>
        </w:rPr>
        <w:t>The experimental design applied to the present experiment was the complete randomized block design</w:t>
      </w:r>
      <w:r>
        <w:rPr>
          <w:sz w:val="24"/>
          <w:szCs w:val="24"/>
          <w:lang w:val="es-ES"/>
        </w:rPr>
        <w:t xml:space="preserve">. </w:t>
      </w:r>
      <w:r w:rsidRPr="005C677C">
        <w:rPr>
          <w:sz w:val="24"/>
          <w:szCs w:val="24"/>
          <w:lang w:val="es-ES"/>
        </w:rPr>
        <w:t>The applied model was</w:t>
      </w:r>
      <w:r>
        <w:rPr>
          <w:sz w:val="24"/>
          <w:szCs w:val="24"/>
          <w:lang w:val="es-ES"/>
        </w:rPr>
        <w:t xml:space="preserve">: </w:t>
      </w:r>
    </w:p>
    <w:p w14:paraId="2207C294" w14:textId="1EC05B8B" w:rsidR="005C677C" w:rsidRDefault="005C677C" w:rsidP="00322EE0">
      <w:pPr>
        <w:jc w:val="both"/>
        <w:rPr>
          <w:sz w:val="24"/>
          <w:szCs w:val="24"/>
          <w:lang w:val="es-ES"/>
        </w:rPr>
      </w:pPr>
    </w:p>
    <w:p w14:paraId="5484AAAD" w14:textId="53E087CB" w:rsidR="005C677C" w:rsidRPr="0015311B" w:rsidRDefault="005C677C" w:rsidP="00322EE0">
      <w:pPr>
        <w:jc w:val="both"/>
        <w:rPr>
          <w:rFonts w:eastAsiaTheme="minorEastAsia"/>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Y</m:t>
              </m:r>
            </m:e>
            <m:sub>
              <m:r>
                <w:rPr>
                  <w:rFonts w:ascii="Cambria Math" w:hAnsi="Cambria Math"/>
                  <w:sz w:val="24"/>
                  <w:szCs w:val="24"/>
                  <w:lang w:val="es-ES"/>
                </w:rPr>
                <m:t>ij</m:t>
              </m:r>
            </m:sub>
          </m:sSub>
          <m:r>
            <w:rPr>
              <w:rFonts w:ascii="Cambria Math" w:hAnsi="Cambria Math"/>
              <w:sz w:val="24"/>
              <w:szCs w:val="24"/>
              <w:lang w:val="es-ES"/>
            </w:rPr>
            <m:t>= μ+</m:t>
          </m:r>
          <m:sSub>
            <m:sSubPr>
              <m:ctrlPr>
                <w:rPr>
                  <w:rFonts w:ascii="Cambria Math" w:hAnsi="Cambria Math"/>
                  <w:i/>
                  <w:sz w:val="24"/>
                  <w:szCs w:val="24"/>
                  <w:lang w:val="es-ES"/>
                </w:rPr>
              </m:ctrlPr>
            </m:sSubPr>
            <m:e>
              <m:r>
                <w:rPr>
                  <w:rFonts w:ascii="Cambria Math" w:hAnsi="Cambria Math"/>
                  <w:sz w:val="24"/>
                  <w:szCs w:val="24"/>
                  <w:lang w:val="es-ES"/>
                </w:rPr>
                <m:t>α</m:t>
              </m:r>
            </m:e>
            <m:sub>
              <m:r>
                <w:rPr>
                  <w:rFonts w:ascii="Cambria Math" w:hAnsi="Cambria Math"/>
                  <w:sz w:val="24"/>
                  <w:szCs w:val="24"/>
                  <w:lang w:val="es-ES"/>
                </w:rPr>
                <m:t>i</m:t>
              </m:r>
            </m:sub>
          </m:sSub>
          <m:r>
            <w:rPr>
              <w:rFonts w:ascii="Cambria Math" w:hAnsi="Cambria Math"/>
              <w:sz w:val="24"/>
              <w:szCs w:val="24"/>
              <w:lang w:val="es-ES"/>
            </w:rPr>
            <m:t>+</m:t>
          </m:r>
          <m:sSub>
            <m:sSubPr>
              <m:ctrlPr>
                <w:rPr>
                  <w:rFonts w:ascii="Cambria Math" w:hAnsi="Cambria Math"/>
                  <w:i/>
                  <w:sz w:val="24"/>
                  <w:szCs w:val="24"/>
                  <w:lang w:val="es-ES"/>
                </w:rPr>
              </m:ctrlPr>
            </m:sSubPr>
            <m:e>
              <m:r>
                <w:rPr>
                  <w:rFonts w:ascii="Cambria Math" w:hAnsi="Cambria Math"/>
                  <w:sz w:val="24"/>
                  <w:szCs w:val="24"/>
                  <w:lang w:val="es-ES"/>
                </w:rPr>
                <m:t>β</m:t>
              </m:r>
            </m:e>
            <m:sub>
              <m:r>
                <w:rPr>
                  <w:rFonts w:ascii="Cambria Math" w:hAnsi="Cambria Math"/>
                  <w:sz w:val="24"/>
                  <w:szCs w:val="24"/>
                  <w:lang w:val="es-ES"/>
                </w:rPr>
                <m:t>j</m:t>
              </m:r>
            </m:sub>
          </m:sSub>
          <m:r>
            <w:rPr>
              <w:rFonts w:ascii="Cambria Math" w:hAnsi="Cambria Math"/>
              <w:sz w:val="24"/>
              <w:szCs w:val="24"/>
              <w:lang w:val="es-ES"/>
            </w:rPr>
            <m:t>+</m:t>
          </m:r>
          <m:sSub>
            <m:sSubPr>
              <m:ctrlPr>
                <w:rPr>
                  <w:rFonts w:ascii="Cambria Math" w:hAnsi="Cambria Math"/>
                  <w:i/>
                  <w:sz w:val="24"/>
                  <w:szCs w:val="24"/>
                  <w:lang w:val="es-ES"/>
                </w:rPr>
              </m:ctrlPr>
            </m:sSubPr>
            <m:e>
              <m:r>
                <w:rPr>
                  <w:rFonts w:ascii="Cambria Math" w:hAnsi="Cambria Math"/>
                  <w:sz w:val="24"/>
                  <w:szCs w:val="24"/>
                  <w:lang w:val="es-ES"/>
                </w:rPr>
                <m:t>ϵ</m:t>
              </m:r>
            </m:e>
            <m:sub>
              <m:r>
                <w:rPr>
                  <w:rFonts w:ascii="Cambria Math" w:hAnsi="Cambria Math"/>
                  <w:sz w:val="24"/>
                  <w:szCs w:val="24"/>
                  <w:lang w:val="es-ES"/>
                </w:rPr>
                <m:t>ij</m:t>
              </m:r>
            </m:sub>
          </m:sSub>
        </m:oMath>
      </m:oMathPara>
    </w:p>
    <w:p w14:paraId="67C66783" w14:textId="52F590D7" w:rsidR="0015311B" w:rsidRDefault="0015311B" w:rsidP="00322EE0">
      <w:pPr>
        <w:jc w:val="both"/>
        <w:rPr>
          <w:rFonts w:eastAsiaTheme="minorEastAsia"/>
          <w:sz w:val="24"/>
          <w:szCs w:val="24"/>
          <w:lang w:val="es-ES"/>
        </w:rPr>
      </w:pPr>
      <w:r>
        <w:rPr>
          <w:rFonts w:eastAsiaTheme="minorEastAsia"/>
          <w:sz w:val="24"/>
          <w:szCs w:val="24"/>
          <w:lang w:val="es-ES"/>
        </w:rPr>
        <w:t>Where</w:t>
      </w:r>
    </w:p>
    <w:p w14:paraId="31C27128" w14:textId="28BF6D06" w:rsidR="0015311B" w:rsidRDefault="0015311B" w:rsidP="00322EE0">
      <w:pPr>
        <w:jc w:val="both"/>
        <w:rPr>
          <w:rFonts w:eastAsiaTheme="minorEastAsia"/>
          <w:sz w:val="24"/>
          <w:szCs w:val="24"/>
          <w:lang w:val="es-ES"/>
        </w:rPr>
      </w:pPr>
      <w:r>
        <w:rPr>
          <w:rFonts w:eastAsiaTheme="minorEastAsia" w:cstheme="minorHAnsi"/>
          <w:sz w:val="24"/>
          <w:szCs w:val="24"/>
          <w:lang w:val="es-ES"/>
        </w:rPr>
        <w:t>µ</w:t>
      </w:r>
      <w:r>
        <w:rPr>
          <w:rFonts w:eastAsiaTheme="minorEastAsia"/>
          <w:sz w:val="24"/>
          <w:szCs w:val="24"/>
          <w:lang w:val="es-ES"/>
        </w:rPr>
        <w:t xml:space="preserve"> </w:t>
      </w:r>
      <w:r w:rsidRPr="0015311B">
        <w:rPr>
          <w:rFonts w:eastAsiaTheme="minorEastAsia"/>
          <w:sz w:val="24"/>
          <w:szCs w:val="24"/>
          <w:lang w:val="es-ES"/>
        </w:rPr>
        <w:t>was the effect of the global mean of the LIC1 index</w:t>
      </w:r>
      <w:r>
        <w:rPr>
          <w:rFonts w:eastAsiaTheme="minorEastAsia"/>
          <w:sz w:val="24"/>
          <w:szCs w:val="24"/>
          <w:lang w:val="es-ES"/>
        </w:rPr>
        <w:t>.</w:t>
      </w:r>
    </w:p>
    <w:p w14:paraId="52C6526D" w14:textId="1705A41F" w:rsidR="0015311B" w:rsidRDefault="0015311B" w:rsidP="00322EE0">
      <w:pPr>
        <w:jc w:val="both"/>
        <w:rPr>
          <w:rFonts w:eastAsiaTheme="minorEastAsia"/>
          <w:sz w:val="24"/>
          <w:szCs w:val="24"/>
          <w:lang w:val="es-ES"/>
        </w:rPr>
      </w:pPr>
      <w:r>
        <w:rPr>
          <w:rFonts w:eastAsiaTheme="minorEastAsia" w:cstheme="minorHAnsi"/>
          <w:sz w:val="24"/>
          <w:szCs w:val="24"/>
          <w:lang w:val="es-ES"/>
        </w:rPr>
        <w:t>α</w:t>
      </w:r>
      <w:r>
        <w:rPr>
          <w:rFonts w:eastAsiaTheme="minorEastAsia"/>
          <w:sz w:val="24"/>
          <w:szCs w:val="24"/>
          <w:lang w:val="es-ES"/>
        </w:rPr>
        <w:t>i</w:t>
      </w:r>
      <w:r w:rsidRPr="0015311B">
        <w:rPr>
          <w:rFonts w:eastAsiaTheme="minorEastAsia"/>
          <w:sz w:val="24"/>
          <w:szCs w:val="24"/>
          <w:lang w:val="es-ES"/>
        </w:rPr>
        <w:t xml:space="preserve"> was the incremental effect on the mean caused by the level of interest A, in this case the doses of edaphic application of mineral nutrients (treatments).</w:t>
      </w:r>
      <w:r>
        <w:rPr>
          <w:rFonts w:eastAsiaTheme="minorEastAsia"/>
          <w:sz w:val="24"/>
          <w:szCs w:val="24"/>
          <w:lang w:val="es-ES"/>
        </w:rPr>
        <w:t xml:space="preserve"> </w:t>
      </w:r>
    </w:p>
    <w:p w14:paraId="4E75EB50" w14:textId="0F778861" w:rsidR="0015311B" w:rsidRDefault="0015311B" w:rsidP="00322EE0">
      <w:pPr>
        <w:jc w:val="both"/>
        <w:rPr>
          <w:rFonts w:eastAsiaTheme="minorEastAsia"/>
          <w:sz w:val="24"/>
          <w:szCs w:val="24"/>
          <w:lang w:val="es-ES"/>
        </w:rPr>
      </w:pPr>
      <w:r>
        <w:rPr>
          <w:rFonts w:eastAsiaTheme="minorEastAsia" w:cstheme="minorHAnsi"/>
          <w:sz w:val="24"/>
          <w:szCs w:val="24"/>
          <w:lang w:val="es-ES"/>
        </w:rPr>
        <w:t>β</w:t>
      </w:r>
      <w:r>
        <w:rPr>
          <w:rFonts w:eastAsiaTheme="minorEastAsia"/>
          <w:sz w:val="24"/>
          <w:szCs w:val="24"/>
          <w:lang w:val="es-ES"/>
        </w:rPr>
        <w:t xml:space="preserve">j </w:t>
      </w:r>
      <w:r w:rsidRPr="0015311B">
        <w:rPr>
          <w:rFonts w:eastAsiaTheme="minorEastAsia"/>
          <w:sz w:val="24"/>
          <w:szCs w:val="24"/>
          <w:lang w:val="es-ES"/>
        </w:rPr>
        <w:t>was the incremental effect on the mean of the block. In this case the production cycles, which were tw</w:t>
      </w:r>
      <w:r>
        <w:rPr>
          <w:rFonts w:eastAsiaTheme="minorEastAsia"/>
          <w:sz w:val="24"/>
          <w:szCs w:val="24"/>
          <w:lang w:val="es-ES"/>
        </w:rPr>
        <w:t>ice</w:t>
      </w:r>
      <w:r w:rsidRPr="0015311B">
        <w:rPr>
          <w:rFonts w:eastAsiaTheme="minorEastAsia"/>
          <w:sz w:val="24"/>
          <w:szCs w:val="24"/>
          <w:lang w:val="es-ES"/>
        </w:rPr>
        <w:t>.</w:t>
      </w:r>
    </w:p>
    <w:p w14:paraId="3158E708" w14:textId="194FB0FA" w:rsidR="0015311B" w:rsidRDefault="0015311B" w:rsidP="00322EE0">
      <w:pPr>
        <w:jc w:val="both"/>
        <w:rPr>
          <w:rFonts w:eastAsiaTheme="minorEastAsia"/>
          <w:sz w:val="24"/>
          <w:szCs w:val="24"/>
          <w:lang w:val="es-ES"/>
        </w:rPr>
      </w:pPr>
      <w:r>
        <w:rPr>
          <w:rFonts w:eastAsiaTheme="minorEastAsia" w:cstheme="minorHAnsi"/>
          <w:sz w:val="24"/>
          <w:szCs w:val="24"/>
          <w:lang w:val="es-ES"/>
        </w:rPr>
        <w:t>ε</w:t>
      </w:r>
      <w:r>
        <w:rPr>
          <w:rFonts w:eastAsiaTheme="minorEastAsia"/>
          <w:sz w:val="24"/>
          <w:szCs w:val="24"/>
          <w:lang w:val="es-ES"/>
        </w:rPr>
        <w:t xml:space="preserve">ij </w:t>
      </w:r>
      <w:r w:rsidRPr="0015311B">
        <w:rPr>
          <w:rFonts w:eastAsiaTheme="minorEastAsia"/>
          <w:sz w:val="24"/>
          <w:szCs w:val="24"/>
          <w:lang w:val="es-ES"/>
        </w:rPr>
        <w:t>was the error term</w:t>
      </w:r>
      <w:r>
        <w:rPr>
          <w:rFonts w:eastAsiaTheme="minorEastAsia"/>
          <w:sz w:val="24"/>
          <w:szCs w:val="24"/>
          <w:lang w:val="es-ES"/>
        </w:rPr>
        <w:t>.</w:t>
      </w:r>
    </w:p>
    <w:p w14:paraId="423C9AFE" w14:textId="30EF7E0B" w:rsidR="0015311B" w:rsidRDefault="0015311B" w:rsidP="0015311B">
      <w:pPr>
        <w:pStyle w:val="Prrafodelista"/>
        <w:numPr>
          <w:ilvl w:val="0"/>
          <w:numId w:val="1"/>
        </w:numPr>
        <w:jc w:val="both"/>
        <w:rPr>
          <w:rFonts w:eastAsiaTheme="minorEastAsia"/>
          <w:b/>
          <w:bCs/>
          <w:sz w:val="24"/>
          <w:szCs w:val="24"/>
          <w:lang w:val="es-ES"/>
        </w:rPr>
      </w:pPr>
      <w:r>
        <w:rPr>
          <w:rFonts w:eastAsiaTheme="minorEastAsia"/>
          <w:b/>
          <w:bCs/>
          <w:sz w:val="24"/>
          <w:szCs w:val="24"/>
          <w:lang w:val="es-ES"/>
        </w:rPr>
        <w:t xml:space="preserve">Solution </w:t>
      </w:r>
    </w:p>
    <w:p w14:paraId="6EC34A41" w14:textId="334B9956" w:rsidR="006B0D5B" w:rsidRDefault="006B0D5B" w:rsidP="006B0D5B">
      <w:pPr>
        <w:jc w:val="both"/>
        <w:rPr>
          <w:rFonts w:eastAsiaTheme="minorEastAsia"/>
          <w:b/>
          <w:bCs/>
          <w:sz w:val="24"/>
          <w:szCs w:val="24"/>
          <w:lang w:val="es-ES"/>
        </w:rPr>
      </w:pPr>
      <w:r>
        <w:rPr>
          <w:rFonts w:eastAsiaTheme="minorEastAsia"/>
          <w:b/>
          <w:bCs/>
          <w:sz w:val="24"/>
          <w:szCs w:val="24"/>
          <w:lang w:val="es-ES"/>
        </w:rPr>
        <w:t xml:space="preserve">Summary of data: </w:t>
      </w:r>
    </w:p>
    <w:tbl>
      <w:tblPr>
        <w:tblStyle w:val="Tablaconcuadrcula1clara"/>
        <w:tblW w:w="0" w:type="auto"/>
        <w:tblLook w:val="04A0" w:firstRow="1" w:lastRow="0" w:firstColumn="1" w:lastColumn="0" w:noHBand="0" w:noVBand="1"/>
      </w:tblPr>
      <w:tblGrid>
        <w:gridCol w:w="2207"/>
        <w:gridCol w:w="2207"/>
        <w:gridCol w:w="2207"/>
        <w:gridCol w:w="2207"/>
      </w:tblGrid>
      <w:tr w:rsidR="006B0D5B" w14:paraId="601F9C92" w14:textId="77777777" w:rsidTr="006B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D8EBF15" w14:textId="3E888B85" w:rsidR="006B0D5B" w:rsidRPr="00B97308" w:rsidRDefault="00B97308" w:rsidP="00B97308">
            <w:pPr>
              <w:jc w:val="center"/>
              <w:rPr>
                <w:rFonts w:eastAsiaTheme="minorEastAsia"/>
                <w:sz w:val="24"/>
                <w:szCs w:val="24"/>
                <w:lang w:val="es-ES"/>
              </w:rPr>
            </w:pPr>
            <w:r>
              <w:rPr>
                <w:rFonts w:eastAsiaTheme="minorEastAsia"/>
                <w:sz w:val="24"/>
                <w:szCs w:val="24"/>
                <w:lang w:val="es-ES"/>
              </w:rPr>
              <w:t>Treatment</w:t>
            </w:r>
          </w:p>
        </w:tc>
        <w:tc>
          <w:tcPr>
            <w:tcW w:w="2207" w:type="dxa"/>
          </w:tcPr>
          <w:p w14:paraId="2845585B" w14:textId="6BDF4E44" w:rsidR="006B0D5B" w:rsidRPr="00B97308" w:rsidRDefault="00B97308" w:rsidP="00B9730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Cycle</w:t>
            </w:r>
          </w:p>
        </w:tc>
        <w:tc>
          <w:tcPr>
            <w:tcW w:w="2207" w:type="dxa"/>
          </w:tcPr>
          <w:p w14:paraId="075B58BA" w14:textId="5AEA09E2" w:rsidR="006B0D5B" w:rsidRPr="00B97308" w:rsidRDefault="00B97308" w:rsidP="00B9730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Mean</w:t>
            </w:r>
          </w:p>
        </w:tc>
        <w:tc>
          <w:tcPr>
            <w:tcW w:w="2207" w:type="dxa"/>
          </w:tcPr>
          <w:p w14:paraId="56679DDA" w14:textId="2F0F3AB1" w:rsidR="006B0D5B" w:rsidRPr="00B97308" w:rsidRDefault="00B97308" w:rsidP="00B9730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Standar desvest</w:t>
            </w:r>
          </w:p>
        </w:tc>
      </w:tr>
      <w:tr w:rsidR="006B0D5B" w14:paraId="377DC330"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37C667DA" w14:textId="764B6912"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w:t>
            </w:r>
          </w:p>
        </w:tc>
        <w:tc>
          <w:tcPr>
            <w:tcW w:w="2207" w:type="dxa"/>
          </w:tcPr>
          <w:p w14:paraId="518AF5BA" w14:textId="2895E952"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A</w:t>
            </w:r>
          </w:p>
        </w:tc>
        <w:tc>
          <w:tcPr>
            <w:tcW w:w="2207" w:type="dxa"/>
          </w:tcPr>
          <w:p w14:paraId="5B01D11C" w14:textId="26F01855"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0.84</w:t>
            </w:r>
          </w:p>
        </w:tc>
        <w:tc>
          <w:tcPr>
            <w:tcW w:w="2207" w:type="dxa"/>
          </w:tcPr>
          <w:p w14:paraId="6FC018A1" w14:textId="0918697F"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0.0274</w:t>
            </w:r>
          </w:p>
        </w:tc>
      </w:tr>
      <w:tr w:rsidR="006B0D5B" w14:paraId="13355EA7"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6EB5D516" w14:textId="460AD066"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w:t>
            </w:r>
          </w:p>
        </w:tc>
        <w:tc>
          <w:tcPr>
            <w:tcW w:w="2207" w:type="dxa"/>
          </w:tcPr>
          <w:p w14:paraId="50BCA63A" w14:textId="1A24B73F"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B</w:t>
            </w:r>
          </w:p>
        </w:tc>
        <w:tc>
          <w:tcPr>
            <w:tcW w:w="2207" w:type="dxa"/>
          </w:tcPr>
          <w:p w14:paraId="7041D503" w14:textId="0BBA7D20"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0.84</w:t>
            </w:r>
          </w:p>
        </w:tc>
        <w:tc>
          <w:tcPr>
            <w:tcW w:w="2207" w:type="dxa"/>
          </w:tcPr>
          <w:p w14:paraId="2895BB0B" w14:textId="5877609F"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0.0181</w:t>
            </w:r>
          </w:p>
        </w:tc>
      </w:tr>
      <w:tr w:rsidR="006B0D5B" w14:paraId="7A1D817A"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017CF55A" w14:textId="4C75C0DB"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0.25</w:t>
            </w:r>
          </w:p>
        </w:tc>
        <w:tc>
          <w:tcPr>
            <w:tcW w:w="2207" w:type="dxa"/>
          </w:tcPr>
          <w:p w14:paraId="31DD3884" w14:textId="0D96B82B"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A</w:t>
            </w:r>
          </w:p>
        </w:tc>
        <w:tc>
          <w:tcPr>
            <w:tcW w:w="2207" w:type="dxa"/>
          </w:tcPr>
          <w:p w14:paraId="0ECDE9FD" w14:textId="2E4C8318"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0.87</w:t>
            </w:r>
          </w:p>
        </w:tc>
        <w:tc>
          <w:tcPr>
            <w:tcW w:w="2207" w:type="dxa"/>
          </w:tcPr>
          <w:p w14:paraId="0C963936" w14:textId="05141000"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0.0180</w:t>
            </w:r>
          </w:p>
        </w:tc>
      </w:tr>
      <w:tr w:rsidR="006B0D5B" w14:paraId="3D6384E9"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58FD17FF" w14:textId="1B7277BB"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0.25</w:t>
            </w:r>
          </w:p>
        </w:tc>
        <w:tc>
          <w:tcPr>
            <w:tcW w:w="2207" w:type="dxa"/>
          </w:tcPr>
          <w:p w14:paraId="008E7ED0" w14:textId="6A23F9A6"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B</w:t>
            </w:r>
          </w:p>
        </w:tc>
        <w:tc>
          <w:tcPr>
            <w:tcW w:w="2207" w:type="dxa"/>
          </w:tcPr>
          <w:p w14:paraId="75A397A0" w14:textId="670ADCEC"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0.87</w:t>
            </w:r>
          </w:p>
        </w:tc>
        <w:tc>
          <w:tcPr>
            <w:tcW w:w="2207" w:type="dxa"/>
          </w:tcPr>
          <w:p w14:paraId="1FFCB975" w14:textId="75E23EA0"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0.0128</w:t>
            </w:r>
          </w:p>
        </w:tc>
      </w:tr>
      <w:tr w:rsidR="006B0D5B" w14:paraId="793F667C"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2DEEBC75" w14:textId="7F501D1D"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0.50</w:t>
            </w:r>
          </w:p>
        </w:tc>
        <w:tc>
          <w:tcPr>
            <w:tcW w:w="2207" w:type="dxa"/>
          </w:tcPr>
          <w:p w14:paraId="3AC097DD" w14:textId="012D3FB5"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A</w:t>
            </w:r>
          </w:p>
        </w:tc>
        <w:tc>
          <w:tcPr>
            <w:tcW w:w="2207" w:type="dxa"/>
          </w:tcPr>
          <w:p w14:paraId="098EDE71" w14:textId="53AAD685"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0.87</w:t>
            </w:r>
          </w:p>
        </w:tc>
        <w:tc>
          <w:tcPr>
            <w:tcW w:w="2207" w:type="dxa"/>
          </w:tcPr>
          <w:p w14:paraId="48F850C5" w14:textId="14FCC14E"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0.0125</w:t>
            </w:r>
          </w:p>
        </w:tc>
      </w:tr>
      <w:tr w:rsidR="006B0D5B" w14:paraId="2F59AEB3"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104BA9D9" w14:textId="4BE696B0"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0.50</w:t>
            </w:r>
          </w:p>
        </w:tc>
        <w:tc>
          <w:tcPr>
            <w:tcW w:w="2207" w:type="dxa"/>
          </w:tcPr>
          <w:p w14:paraId="41BF949E" w14:textId="3FF1B388"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B</w:t>
            </w:r>
          </w:p>
        </w:tc>
        <w:tc>
          <w:tcPr>
            <w:tcW w:w="2207" w:type="dxa"/>
          </w:tcPr>
          <w:p w14:paraId="6DB5405F" w14:textId="08FA8FEF"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0.86</w:t>
            </w:r>
          </w:p>
        </w:tc>
        <w:tc>
          <w:tcPr>
            <w:tcW w:w="2207" w:type="dxa"/>
          </w:tcPr>
          <w:p w14:paraId="5D736795" w14:textId="219A11F3"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0.0188</w:t>
            </w:r>
          </w:p>
        </w:tc>
      </w:tr>
      <w:tr w:rsidR="006B0D5B" w14:paraId="740C7D77"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1E8FCE43" w14:textId="682FCE7A"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1</w:t>
            </w:r>
          </w:p>
        </w:tc>
        <w:tc>
          <w:tcPr>
            <w:tcW w:w="2207" w:type="dxa"/>
          </w:tcPr>
          <w:p w14:paraId="0DE8B3E3" w14:textId="36814BC3"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A</w:t>
            </w:r>
          </w:p>
        </w:tc>
        <w:tc>
          <w:tcPr>
            <w:tcW w:w="2207" w:type="dxa"/>
          </w:tcPr>
          <w:p w14:paraId="3349D33F" w14:textId="6866374F"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0.89</w:t>
            </w:r>
          </w:p>
        </w:tc>
        <w:tc>
          <w:tcPr>
            <w:tcW w:w="2207" w:type="dxa"/>
          </w:tcPr>
          <w:p w14:paraId="3239F22D" w14:textId="0E1ADEE5"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0.0119</w:t>
            </w:r>
          </w:p>
        </w:tc>
      </w:tr>
      <w:tr w:rsidR="006B0D5B" w14:paraId="5B4D948A"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1E362542" w14:textId="0D1117C8"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1</w:t>
            </w:r>
          </w:p>
        </w:tc>
        <w:tc>
          <w:tcPr>
            <w:tcW w:w="2207" w:type="dxa"/>
          </w:tcPr>
          <w:p w14:paraId="1E402587" w14:textId="1944579A"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B</w:t>
            </w:r>
          </w:p>
        </w:tc>
        <w:tc>
          <w:tcPr>
            <w:tcW w:w="2207" w:type="dxa"/>
          </w:tcPr>
          <w:p w14:paraId="1DEC69A3" w14:textId="4C1262F4"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0.89</w:t>
            </w:r>
          </w:p>
        </w:tc>
        <w:tc>
          <w:tcPr>
            <w:tcW w:w="2207" w:type="dxa"/>
          </w:tcPr>
          <w:p w14:paraId="119D5188" w14:textId="050CF799"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0.02</w:t>
            </w:r>
          </w:p>
        </w:tc>
      </w:tr>
      <w:tr w:rsidR="006B0D5B" w14:paraId="64923EEF"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4A484C92" w14:textId="3EF951F8"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1.5</w:t>
            </w:r>
          </w:p>
        </w:tc>
        <w:tc>
          <w:tcPr>
            <w:tcW w:w="2207" w:type="dxa"/>
          </w:tcPr>
          <w:p w14:paraId="52AE6018" w14:textId="6DE167AA"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A</w:t>
            </w:r>
          </w:p>
        </w:tc>
        <w:tc>
          <w:tcPr>
            <w:tcW w:w="2207" w:type="dxa"/>
          </w:tcPr>
          <w:p w14:paraId="06A95782" w14:textId="65E79B38"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0.89</w:t>
            </w:r>
          </w:p>
        </w:tc>
        <w:tc>
          <w:tcPr>
            <w:tcW w:w="2207" w:type="dxa"/>
          </w:tcPr>
          <w:p w14:paraId="298EC116" w14:textId="077F0114"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0.0212</w:t>
            </w:r>
          </w:p>
        </w:tc>
      </w:tr>
      <w:tr w:rsidR="006B0D5B" w14:paraId="2ED8A923" w14:textId="77777777" w:rsidTr="006B0D5B">
        <w:tc>
          <w:tcPr>
            <w:cnfStyle w:val="001000000000" w:firstRow="0" w:lastRow="0" w:firstColumn="1" w:lastColumn="0" w:oddVBand="0" w:evenVBand="0" w:oddHBand="0" w:evenHBand="0" w:firstRowFirstColumn="0" w:firstRowLastColumn="0" w:lastRowFirstColumn="0" w:lastRowLastColumn="0"/>
            <w:tcW w:w="2207" w:type="dxa"/>
          </w:tcPr>
          <w:p w14:paraId="59853DC6" w14:textId="399E556E" w:rsidR="006B0D5B" w:rsidRDefault="00B97308" w:rsidP="00B97308">
            <w:pPr>
              <w:jc w:val="center"/>
              <w:rPr>
                <w:rFonts w:eastAsiaTheme="minorEastAsia"/>
                <w:b w:val="0"/>
                <w:bCs w:val="0"/>
                <w:sz w:val="24"/>
                <w:szCs w:val="24"/>
                <w:lang w:val="es-ES"/>
              </w:rPr>
            </w:pPr>
            <w:r>
              <w:rPr>
                <w:rFonts w:eastAsiaTheme="minorEastAsia"/>
                <w:b w:val="0"/>
                <w:bCs w:val="0"/>
                <w:sz w:val="24"/>
                <w:szCs w:val="24"/>
                <w:lang w:val="es-ES"/>
              </w:rPr>
              <w:t>1.5</w:t>
            </w:r>
          </w:p>
        </w:tc>
        <w:tc>
          <w:tcPr>
            <w:tcW w:w="2207" w:type="dxa"/>
          </w:tcPr>
          <w:p w14:paraId="679FC4CC" w14:textId="7B52D1DA"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sidRPr="00B97308">
              <w:rPr>
                <w:rFonts w:eastAsiaTheme="minorEastAsia"/>
                <w:sz w:val="24"/>
                <w:szCs w:val="24"/>
                <w:lang w:val="es-ES"/>
              </w:rPr>
              <w:t>B</w:t>
            </w:r>
          </w:p>
        </w:tc>
        <w:tc>
          <w:tcPr>
            <w:tcW w:w="2207" w:type="dxa"/>
          </w:tcPr>
          <w:p w14:paraId="774DA737" w14:textId="4D56E302"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0.88</w:t>
            </w:r>
          </w:p>
        </w:tc>
        <w:tc>
          <w:tcPr>
            <w:tcW w:w="2207" w:type="dxa"/>
          </w:tcPr>
          <w:p w14:paraId="7914D267" w14:textId="3C8EF2DB" w:rsidR="006B0D5B" w:rsidRPr="00B97308" w:rsidRDefault="00B97308" w:rsidP="00B97308">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0.0123</w:t>
            </w:r>
          </w:p>
        </w:tc>
      </w:tr>
    </w:tbl>
    <w:p w14:paraId="72177267" w14:textId="77777777" w:rsidR="00B97308" w:rsidRDefault="00B97308" w:rsidP="0015311B">
      <w:pPr>
        <w:jc w:val="both"/>
        <w:rPr>
          <w:rFonts w:eastAsiaTheme="minorEastAsia"/>
          <w:b/>
          <w:bCs/>
          <w:sz w:val="24"/>
          <w:szCs w:val="24"/>
          <w:lang w:val="es-ES"/>
        </w:rPr>
      </w:pPr>
    </w:p>
    <w:p w14:paraId="55A1660A" w14:textId="214513DB" w:rsidR="0015311B" w:rsidRDefault="0015311B" w:rsidP="0015311B">
      <w:pPr>
        <w:jc w:val="both"/>
        <w:rPr>
          <w:rFonts w:eastAsiaTheme="minorEastAsia"/>
          <w:b/>
          <w:bCs/>
          <w:sz w:val="24"/>
          <w:szCs w:val="24"/>
          <w:lang w:val="es-ES"/>
        </w:rPr>
      </w:pPr>
      <w:r>
        <w:rPr>
          <w:rFonts w:eastAsiaTheme="minorEastAsia"/>
          <w:b/>
          <w:bCs/>
          <w:sz w:val="24"/>
          <w:szCs w:val="24"/>
          <w:lang w:val="es-ES"/>
        </w:rPr>
        <w:t xml:space="preserve">ANOVA OF COMPLETE RANDOMIZED BLOCK DESIGN </w:t>
      </w:r>
    </w:p>
    <w:tbl>
      <w:tblPr>
        <w:tblStyle w:val="Tablaconcuadrcula1clara"/>
        <w:tblW w:w="0" w:type="auto"/>
        <w:tblLook w:val="04A0" w:firstRow="1" w:lastRow="0" w:firstColumn="1" w:lastColumn="0" w:noHBand="0" w:noVBand="1"/>
      </w:tblPr>
      <w:tblGrid>
        <w:gridCol w:w="1858"/>
        <w:gridCol w:w="1351"/>
        <w:gridCol w:w="1408"/>
        <w:gridCol w:w="1425"/>
        <w:gridCol w:w="1393"/>
        <w:gridCol w:w="1393"/>
      </w:tblGrid>
      <w:tr w:rsidR="006B0D5B" w14:paraId="34AB31A2" w14:textId="77777777" w:rsidTr="006B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48845C03" w14:textId="77777777" w:rsidR="006B0D5B" w:rsidRDefault="006B0D5B" w:rsidP="0015311B">
            <w:pPr>
              <w:jc w:val="both"/>
              <w:rPr>
                <w:rFonts w:eastAsiaTheme="minorEastAsia"/>
                <w:sz w:val="24"/>
                <w:szCs w:val="24"/>
                <w:lang w:val="es-ES"/>
              </w:rPr>
            </w:pPr>
          </w:p>
        </w:tc>
        <w:tc>
          <w:tcPr>
            <w:tcW w:w="1471" w:type="dxa"/>
          </w:tcPr>
          <w:p w14:paraId="18CAB0B1" w14:textId="54D7EDBF" w:rsidR="006B0D5B" w:rsidRDefault="006B0D5B" w:rsidP="006B0D5B">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Df</w:t>
            </w:r>
          </w:p>
        </w:tc>
        <w:tc>
          <w:tcPr>
            <w:tcW w:w="1471" w:type="dxa"/>
          </w:tcPr>
          <w:p w14:paraId="32E9225C" w14:textId="0ABDBCB4" w:rsidR="006B0D5B" w:rsidRDefault="006B0D5B" w:rsidP="006B0D5B">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Sum Sq</w:t>
            </w:r>
          </w:p>
        </w:tc>
        <w:tc>
          <w:tcPr>
            <w:tcW w:w="1471" w:type="dxa"/>
          </w:tcPr>
          <w:p w14:paraId="34D7F5C5" w14:textId="2123C27F" w:rsidR="006B0D5B" w:rsidRDefault="006B0D5B" w:rsidP="006B0D5B">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Mean Sq</w:t>
            </w:r>
          </w:p>
        </w:tc>
        <w:tc>
          <w:tcPr>
            <w:tcW w:w="1472" w:type="dxa"/>
          </w:tcPr>
          <w:p w14:paraId="5BFC51F1" w14:textId="48810EE9" w:rsidR="006B0D5B" w:rsidRDefault="006B0D5B" w:rsidP="006B0D5B">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 xml:space="preserve">F value </w:t>
            </w:r>
          </w:p>
        </w:tc>
        <w:tc>
          <w:tcPr>
            <w:tcW w:w="1472" w:type="dxa"/>
          </w:tcPr>
          <w:p w14:paraId="79E08069" w14:textId="0D87DB3E" w:rsidR="006B0D5B" w:rsidRDefault="006B0D5B" w:rsidP="006B0D5B">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Pr(&gt;F)</w:t>
            </w:r>
          </w:p>
        </w:tc>
      </w:tr>
      <w:tr w:rsidR="006B0D5B" w14:paraId="0359FFB5" w14:textId="77777777" w:rsidTr="006B0D5B">
        <w:tc>
          <w:tcPr>
            <w:cnfStyle w:val="001000000000" w:firstRow="0" w:lastRow="0" w:firstColumn="1" w:lastColumn="0" w:oddVBand="0" w:evenVBand="0" w:oddHBand="0" w:evenHBand="0" w:firstRowFirstColumn="0" w:firstRowLastColumn="0" w:lastRowFirstColumn="0" w:lastRowLastColumn="0"/>
            <w:tcW w:w="1471" w:type="dxa"/>
          </w:tcPr>
          <w:p w14:paraId="269BE680" w14:textId="4D61B1BB" w:rsidR="006B0D5B" w:rsidRDefault="006B0D5B" w:rsidP="006B0D5B">
            <w:pPr>
              <w:jc w:val="center"/>
              <w:rPr>
                <w:rFonts w:eastAsiaTheme="minorEastAsia"/>
                <w:sz w:val="24"/>
                <w:szCs w:val="24"/>
                <w:lang w:val="es-ES"/>
              </w:rPr>
            </w:pPr>
            <w:r>
              <w:rPr>
                <w:rFonts w:eastAsiaTheme="minorEastAsia"/>
                <w:sz w:val="24"/>
                <w:szCs w:val="24"/>
                <w:lang w:val="es-ES"/>
              </w:rPr>
              <w:t>Cycle</w:t>
            </w:r>
          </w:p>
        </w:tc>
        <w:tc>
          <w:tcPr>
            <w:tcW w:w="1471" w:type="dxa"/>
          </w:tcPr>
          <w:p w14:paraId="45E67D63" w14:textId="17D2ADCB"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1</w:t>
            </w:r>
          </w:p>
        </w:tc>
        <w:tc>
          <w:tcPr>
            <w:tcW w:w="1471" w:type="dxa"/>
          </w:tcPr>
          <w:p w14:paraId="36652458" w14:textId="6BCE1E5C"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0.00107</w:t>
            </w:r>
          </w:p>
        </w:tc>
        <w:tc>
          <w:tcPr>
            <w:tcW w:w="1471" w:type="dxa"/>
          </w:tcPr>
          <w:p w14:paraId="61301497" w14:textId="160190D4"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0.001067</w:t>
            </w:r>
          </w:p>
        </w:tc>
        <w:tc>
          <w:tcPr>
            <w:tcW w:w="1472" w:type="dxa"/>
          </w:tcPr>
          <w:p w14:paraId="0C92CFC8" w14:textId="3E1B6C14"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3.316</w:t>
            </w:r>
          </w:p>
        </w:tc>
        <w:tc>
          <w:tcPr>
            <w:tcW w:w="1472" w:type="dxa"/>
          </w:tcPr>
          <w:p w14:paraId="7739E6D9" w14:textId="556633A3"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0.0708</w:t>
            </w:r>
          </w:p>
        </w:tc>
      </w:tr>
      <w:tr w:rsidR="006B0D5B" w14:paraId="1388D1EC" w14:textId="77777777" w:rsidTr="006B0D5B">
        <w:tc>
          <w:tcPr>
            <w:cnfStyle w:val="001000000000" w:firstRow="0" w:lastRow="0" w:firstColumn="1" w:lastColumn="0" w:oddVBand="0" w:evenVBand="0" w:oddHBand="0" w:evenHBand="0" w:firstRowFirstColumn="0" w:firstRowLastColumn="0" w:lastRowFirstColumn="0" w:lastRowLastColumn="0"/>
            <w:tcW w:w="1471" w:type="dxa"/>
          </w:tcPr>
          <w:p w14:paraId="2EB37362" w14:textId="654902E7" w:rsidR="006B0D5B" w:rsidRDefault="006B0D5B" w:rsidP="006B0D5B">
            <w:pPr>
              <w:jc w:val="center"/>
              <w:rPr>
                <w:rFonts w:eastAsiaTheme="minorEastAsia"/>
                <w:sz w:val="24"/>
                <w:szCs w:val="24"/>
                <w:lang w:val="es-ES"/>
              </w:rPr>
            </w:pPr>
            <w:r>
              <w:rPr>
                <w:rFonts w:eastAsiaTheme="minorEastAsia"/>
                <w:sz w:val="24"/>
                <w:szCs w:val="24"/>
                <w:lang w:val="es-ES"/>
              </w:rPr>
              <w:t>Treatment</w:t>
            </w:r>
          </w:p>
        </w:tc>
        <w:tc>
          <w:tcPr>
            <w:tcW w:w="1471" w:type="dxa"/>
          </w:tcPr>
          <w:p w14:paraId="355E4C05" w14:textId="0862032A"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4</w:t>
            </w:r>
          </w:p>
        </w:tc>
        <w:tc>
          <w:tcPr>
            <w:tcW w:w="1471" w:type="dxa"/>
          </w:tcPr>
          <w:p w14:paraId="7D973859" w14:textId="5EE6D345"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0.03692</w:t>
            </w:r>
          </w:p>
        </w:tc>
        <w:tc>
          <w:tcPr>
            <w:tcW w:w="1471" w:type="dxa"/>
          </w:tcPr>
          <w:p w14:paraId="2D59BB0D" w14:textId="0F7D187C"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0.009231</w:t>
            </w:r>
          </w:p>
        </w:tc>
        <w:tc>
          <w:tcPr>
            <w:tcW w:w="1472" w:type="dxa"/>
          </w:tcPr>
          <w:p w14:paraId="666999FE" w14:textId="42F9D2A7"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28.693</w:t>
            </w:r>
          </w:p>
        </w:tc>
        <w:tc>
          <w:tcPr>
            <w:tcW w:w="1472" w:type="dxa"/>
          </w:tcPr>
          <w:p w14:paraId="7C458EEB" w14:textId="72E76C19" w:rsidR="006B0D5B" w:rsidRP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vertAlign w:val="superscript"/>
                <w:lang w:val="es-ES"/>
              </w:rPr>
            </w:pPr>
            <w:r>
              <w:rPr>
                <w:rFonts w:eastAsiaTheme="minorEastAsia"/>
                <w:sz w:val="24"/>
                <w:szCs w:val="24"/>
                <w:lang w:val="es-ES"/>
              </w:rPr>
              <w:t>&lt;2*10</w:t>
            </w:r>
            <w:r>
              <w:rPr>
                <w:rFonts w:eastAsiaTheme="minorEastAsia"/>
                <w:sz w:val="24"/>
                <w:szCs w:val="24"/>
                <w:vertAlign w:val="superscript"/>
                <w:lang w:val="es-ES"/>
              </w:rPr>
              <w:t>-16</w:t>
            </w:r>
          </w:p>
        </w:tc>
      </w:tr>
      <w:tr w:rsidR="006B0D5B" w14:paraId="713F8368" w14:textId="77777777" w:rsidTr="006B0D5B">
        <w:tc>
          <w:tcPr>
            <w:cnfStyle w:val="001000000000" w:firstRow="0" w:lastRow="0" w:firstColumn="1" w:lastColumn="0" w:oddVBand="0" w:evenVBand="0" w:oddHBand="0" w:evenHBand="0" w:firstRowFirstColumn="0" w:firstRowLastColumn="0" w:lastRowFirstColumn="0" w:lastRowLastColumn="0"/>
            <w:tcW w:w="1471" w:type="dxa"/>
          </w:tcPr>
          <w:p w14:paraId="02EA0AA7" w14:textId="171E176B" w:rsidR="006B0D5B" w:rsidRDefault="006B0D5B" w:rsidP="006B0D5B">
            <w:pPr>
              <w:jc w:val="center"/>
              <w:rPr>
                <w:rFonts w:eastAsiaTheme="minorEastAsia"/>
                <w:sz w:val="24"/>
                <w:szCs w:val="24"/>
                <w:lang w:val="es-ES"/>
              </w:rPr>
            </w:pPr>
            <w:r>
              <w:rPr>
                <w:rFonts w:eastAsiaTheme="minorEastAsia"/>
                <w:sz w:val="24"/>
                <w:szCs w:val="24"/>
                <w:lang w:val="es-ES"/>
              </w:rPr>
              <w:t>Cycle:Treatment</w:t>
            </w:r>
          </w:p>
        </w:tc>
        <w:tc>
          <w:tcPr>
            <w:tcW w:w="1471" w:type="dxa"/>
          </w:tcPr>
          <w:p w14:paraId="67A759D2" w14:textId="33202180"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4</w:t>
            </w:r>
          </w:p>
        </w:tc>
        <w:tc>
          <w:tcPr>
            <w:tcW w:w="1471" w:type="dxa"/>
          </w:tcPr>
          <w:p w14:paraId="1A2DAD21" w14:textId="3F305B96"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0.00017</w:t>
            </w:r>
          </w:p>
        </w:tc>
        <w:tc>
          <w:tcPr>
            <w:tcW w:w="1471" w:type="dxa"/>
          </w:tcPr>
          <w:p w14:paraId="65577B51" w14:textId="7F173FBC"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0.000042</w:t>
            </w:r>
          </w:p>
        </w:tc>
        <w:tc>
          <w:tcPr>
            <w:tcW w:w="1472" w:type="dxa"/>
          </w:tcPr>
          <w:p w14:paraId="6822B255" w14:textId="50F478B9"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0.130</w:t>
            </w:r>
          </w:p>
        </w:tc>
        <w:tc>
          <w:tcPr>
            <w:tcW w:w="1472" w:type="dxa"/>
          </w:tcPr>
          <w:p w14:paraId="162053E7" w14:textId="0029483A"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0.9714</w:t>
            </w:r>
          </w:p>
        </w:tc>
      </w:tr>
      <w:tr w:rsidR="006B0D5B" w14:paraId="6A79312F" w14:textId="77777777" w:rsidTr="006B0D5B">
        <w:tc>
          <w:tcPr>
            <w:cnfStyle w:val="001000000000" w:firstRow="0" w:lastRow="0" w:firstColumn="1" w:lastColumn="0" w:oddVBand="0" w:evenVBand="0" w:oddHBand="0" w:evenHBand="0" w:firstRowFirstColumn="0" w:firstRowLastColumn="0" w:lastRowFirstColumn="0" w:lastRowLastColumn="0"/>
            <w:tcW w:w="1471" w:type="dxa"/>
          </w:tcPr>
          <w:p w14:paraId="2CA1195B" w14:textId="49A69C9A" w:rsidR="006B0D5B" w:rsidRDefault="006B0D5B" w:rsidP="006B0D5B">
            <w:pPr>
              <w:jc w:val="center"/>
              <w:rPr>
                <w:rFonts w:eastAsiaTheme="minorEastAsia"/>
                <w:sz w:val="24"/>
                <w:szCs w:val="24"/>
                <w:lang w:val="es-ES"/>
              </w:rPr>
            </w:pPr>
            <w:r>
              <w:rPr>
                <w:rFonts w:eastAsiaTheme="minorEastAsia"/>
                <w:sz w:val="24"/>
                <w:szCs w:val="24"/>
                <w:lang w:val="es-ES"/>
              </w:rPr>
              <w:t>Residuals</w:t>
            </w:r>
          </w:p>
        </w:tc>
        <w:tc>
          <w:tcPr>
            <w:tcW w:w="1471" w:type="dxa"/>
          </w:tcPr>
          <w:p w14:paraId="3B56732D" w14:textId="2689B842"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140</w:t>
            </w:r>
          </w:p>
        </w:tc>
        <w:tc>
          <w:tcPr>
            <w:tcW w:w="1471" w:type="dxa"/>
          </w:tcPr>
          <w:p w14:paraId="7E8D6B3F" w14:textId="2D773778"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0.04504</w:t>
            </w:r>
          </w:p>
        </w:tc>
        <w:tc>
          <w:tcPr>
            <w:tcW w:w="1471" w:type="dxa"/>
          </w:tcPr>
          <w:p w14:paraId="1258514A" w14:textId="3516D310"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0.000322</w:t>
            </w:r>
          </w:p>
        </w:tc>
        <w:tc>
          <w:tcPr>
            <w:tcW w:w="1472" w:type="dxa"/>
          </w:tcPr>
          <w:p w14:paraId="61335208" w14:textId="77777777"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p>
        </w:tc>
        <w:tc>
          <w:tcPr>
            <w:tcW w:w="1472" w:type="dxa"/>
          </w:tcPr>
          <w:p w14:paraId="08DEE80F" w14:textId="77777777" w:rsidR="006B0D5B" w:rsidRDefault="006B0D5B" w:rsidP="006B0D5B">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p>
        </w:tc>
      </w:tr>
    </w:tbl>
    <w:p w14:paraId="2359404A" w14:textId="78FC694C" w:rsidR="0015311B" w:rsidRDefault="006B0D5B" w:rsidP="006B0D5B">
      <w:pPr>
        <w:pStyle w:val="Prrafodelista"/>
        <w:numPr>
          <w:ilvl w:val="0"/>
          <w:numId w:val="2"/>
        </w:numPr>
        <w:jc w:val="both"/>
        <w:rPr>
          <w:rFonts w:eastAsiaTheme="minorEastAsia"/>
          <w:sz w:val="24"/>
          <w:szCs w:val="24"/>
          <w:lang w:val="es-ES"/>
        </w:rPr>
      </w:pPr>
      <w:r>
        <w:rPr>
          <w:rFonts w:eastAsiaTheme="minorEastAsia"/>
          <w:sz w:val="24"/>
          <w:szCs w:val="24"/>
          <w:lang w:val="es-ES"/>
        </w:rPr>
        <w:t xml:space="preserve">Significance leve lof 0.05. </w:t>
      </w:r>
    </w:p>
    <w:p w14:paraId="4A104EB7" w14:textId="1499F520" w:rsidR="0015311B" w:rsidRPr="00B97308" w:rsidRDefault="00B97308" w:rsidP="0015311B">
      <w:pPr>
        <w:jc w:val="both"/>
        <w:rPr>
          <w:rFonts w:eastAsiaTheme="minorEastAsia"/>
          <w:sz w:val="24"/>
          <w:szCs w:val="24"/>
          <w:lang w:val="es-ES"/>
        </w:rPr>
      </w:pPr>
      <w:r w:rsidRPr="00B97308">
        <w:lastRenderedPageBreak/>
        <w:drawing>
          <wp:anchor distT="0" distB="0" distL="114300" distR="114300" simplePos="0" relativeHeight="251658240" behindDoc="0" locked="0" layoutInCell="1" allowOverlap="1" wp14:anchorId="0342BF6E" wp14:editId="7DED531A">
            <wp:simplePos x="0" y="0"/>
            <wp:positionH relativeFrom="margin">
              <wp:align>center</wp:align>
            </wp:positionH>
            <wp:positionV relativeFrom="paragraph">
              <wp:posOffset>0</wp:posOffset>
            </wp:positionV>
            <wp:extent cx="5257143" cy="3085714"/>
            <wp:effectExtent l="0" t="0" r="127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7143" cy="3085714"/>
                    </a:xfrm>
                    <a:prstGeom prst="rect">
                      <a:avLst/>
                    </a:prstGeom>
                  </pic:spPr>
                </pic:pic>
              </a:graphicData>
            </a:graphic>
          </wp:anchor>
        </w:drawing>
      </w:r>
      <w:r>
        <w:rPr>
          <w:rFonts w:eastAsiaTheme="minorEastAsia"/>
          <w:b/>
          <w:bCs/>
          <w:lang w:val="es-ES"/>
        </w:rPr>
        <w:t xml:space="preserve">*ns: no significance at </w:t>
      </w:r>
      <w:r>
        <w:rPr>
          <w:rFonts w:eastAsiaTheme="minorEastAsia" w:cstheme="minorHAnsi"/>
          <w:b/>
          <w:bCs/>
          <w:lang w:val="es-ES"/>
        </w:rPr>
        <w:t>α</w:t>
      </w:r>
      <w:r>
        <w:rPr>
          <w:rFonts w:eastAsiaTheme="minorEastAsia"/>
          <w:b/>
          <w:bCs/>
          <w:lang w:val="es-ES"/>
        </w:rPr>
        <w:t>:0.05</w:t>
      </w:r>
    </w:p>
    <w:p w14:paraId="356EDBAD" w14:textId="78EE5B74" w:rsidR="00B97308" w:rsidRDefault="00B97308" w:rsidP="0015311B">
      <w:pPr>
        <w:jc w:val="both"/>
        <w:rPr>
          <w:rFonts w:eastAsiaTheme="minorEastAsia"/>
          <w:b/>
          <w:bCs/>
          <w:lang w:val="es-ES"/>
        </w:rPr>
      </w:pPr>
    </w:p>
    <w:p w14:paraId="6B3768A6" w14:textId="17B00C68" w:rsidR="00B97308" w:rsidRDefault="00B97308" w:rsidP="0015311B">
      <w:pPr>
        <w:jc w:val="both"/>
        <w:rPr>
          <w:rFonts w:eastAsiaTheme="minorEastAsia"/>
          <w:b/>
          <w:bCs/>
          <w:sz w:val="24"/>
          <w:szCs w:val="24"/>
          <w:lang w:val="es-ES"/>
        </w:rPr>
      </w:pPr>
      <w:r>
        <w:rPr>
          <w:rFonts w:eastAsiaTheme="minorEastAsia"/>
          <w:b/>
          <w:bCs/>
          <w:sz w:val="24"/>
          <w:szCs w:val="24"/>
          <w:lang w:val="es-ES"/>
        </w:rPr>
        <w:t>POST-HOC ANALYSIS LSD t TEST FOR RESPONSE VARIABLE (LIC1 INDEX)</w:t>
      </w:r>
    </w:p>
    <w:tbl>
      <w:tblPr>
        <w:tblStyle w:val="Tablaconcuadrcula1clara"/>
        <w:tblW w:w="0" w:type="auto"/>
        <w:tblLook w:val="04A0" w:firstRow="1" w:lastRow="0" w:firstColumn="1" w:lastColumn="0" w:noHBand="0" w:noVBand="1"/>
      </w:tblPr>
      <w:tblGrid>
        <w:gridCol w:w="2942"/>
        <w:gridCol w:w="2943"/>
        <w:gridCol w:w="2943"/>
      </w:tblGrid>
      <w:tr w:rsidR="0087210D" w14:paraId="4FF93D59" w14:textId="77777777" w:rsidTr="00872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4181A9F" w14:textId="4207FAAD" w:rsidR="0087210D" w:rsidRPr="0087210D" w:rsidRDefault="0087210D" w:rsidP="0087210D">
            <w:pPr>
              <w:jc w:val="center"/>
              <w:rPr>
                <w:rFonts w:eastAsiaTheme="minorEastAsia"/>
                <w:sz w:val="24"/>
                <w:szCs w:val="24"/>
                <w:lang w:val="es-ES"/>
              </w:rPr>
            </w:pPr>
            <w:r>
              <w:rPr>
                <w:rFonts w:eastAsiaTheme="minorEastAsia"/>
                <w:sz w:val="24"/>
                <w:szCs w:val="24"/>
                <w:lang w:val="es-ES"/>
              </w:rPr>
              <w:t>Treatment</w:t>
            </w:r>
          </w:p>
        </w:tc>
        <w:tc>
          <w:tcPr>
            <w:tcW w:w="2943" w:type="dxa"/>
          </w:tcPr>
          <w:p w14:paraId="3BC21B1B" w14:textId="40E92AD1" w:rsidR="0087210D" w:rsidRPr="0087210D" w:rsidRDefault="0087210D" w:rsidP="0087210D">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Response variable LIC1</w:t>
            </w:r>
          </w:p>
        </w:tc>
        <w:tc>
          <w:tcPr>
            <w:tcW w:w="2943" w:type="dxa"/>
          </w:tcPr>
          <w:p w14:paraId="2096B061" w14:textId="60BFDCCB" w:rsidR="0087210D" w:rsidRPr="0087210D" w:rsidRDefault="00C51A9C" w:rsidP="0087210D">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 xml:space="preserve">Groups </w:t>
            </w:r>
          </w:p>
        </w:tc>
      </w:tr>
      <w:tr w:rsidR="0087210D" w14:paraId="059A3505" w14:textId="77777777" w:rsidTr="0087210D">
        <w:tc>
          <w:tcPr>
            <w:cnfStyle w:val="001000000000" w:firstRow="0" w:lastRow="0" w:firstColumn="1" w:lastColumn="0" w:oddVBand="0" w:evenVBand="0" w:oddHBand="0" w:evenHBand="0" w:firstRowFirstColumn="0" w:firstRowLastColumn="0" w:lastRowFirstColumn="0" w:lastRowLastColumn="0"/>
            <w:tcW w:w="2942" w:type="dxa"/>
          </w:tcPr>
          <w:p w14:paraId="27B35D72" w14:textId="3B864824" w:rsidR="0087210D" w:rsidRPr="0087210D" w:rsidRDefault="00C51A9C" w:rsidP="0087210D">
            <w:pPr>
              <w:jc w:val="center"/>
              <w:rPr>
                <w:rFonts w:eastAsiaTheme="minorEastAsia"/>
                <w:sz w:val="24"/>
                <w:szCs w:val="24"/>
                <w:lang w:val="es-ES"/>
              </w:rPr>
            </w:pPr>
            <w:r>
              <w:rPr>
                <w:rFonts w:eastAsiaTheme="minorEastAsia"/>
                <w:sz w:val="24"/>
                <w:szCs w:val="24"/>
                <w:lang w:val="es-ES"/>
              </w:rPr>
              <w:t>0</w:t>
            </w:r>
          </w:p>
        </w:tc>
        <w:tc>
          <w:tcPr>
            <w:tcW w:w="2943" w:type="dxa"/>
          </w:tcPr>
          <w:p w14:paraId="27149749" w14:textId="40F9A99F"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0.8233</w:t>
            </w:r>
          </w:p>
        </w:tc>
        <w:tc>
          <w:tcPr>
            <w:tcW w:w="2943" w:type="dxa"/>
          </w:tcPr>
          <w:p w14:paraId="5BFCA030" w14:textId="43B3DDF8"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a</w:t>
            </w:r>
          </w:p>
        </w:tc>
      </w:tr>
      <w:tr w:rsidR="0087210D" w14:paraId="4CA892A2" w14:textId="77777777" w:rsidTr="0087210D">
        <w:tc>
          <w:tcPr>
            <w:cnfStyle w:val="001000000000" w:firstRow="0" w:lastRow="0" w:firstColumn="1" w:lastColumn="0" w:oddVBand="0" w:evenVBand="0" w:oddHBand="0" w:evenHBand="0" w:firstRowFirstColumn="0" w:firstRowLastColumn="0" w:lastRowFirstColumn="0" w:lastRowLastColumn="0"/>
            <w:tcW w:w="2942" w:type="dxa"/>
          </w:tcPr>
          <w:p w14:paraId="07F0C3A8" w14:textId="0FB35E3B" w:rsidR="0087210D" w:rsidRPr="0087210D" w:rsidRDefault="00C51A9C" w:rsidP="0087210D">
            <w:pPr>
              <w:jc w:val="center"/>
              <w:rPr>
                <w:rFonts w:eastAsiaTheme="minorEastAsia"/>
                <w:sz w:val="24"/>
                <w:szCs w:val="24"/>
                <w:lang w:val="es-ES"/>
              </w:rPr>
            </w:pPr>
            <w:r>
              <w:rPr>
                <w:rFonts w:eastAsiaTheme="minorEastAsia"/>
                <w:sz w:val="24"/>
                <w:szCs w:val="24"/>
                <w:lang w:val="es-ES"/>
              </w:rPr>
              <w:t>0.25</w:t>
            </w:r>
          </w:p>
        </w:tc>
        <w:tc>
          <w:tcPr>
            <w:tcW w:w="2943" w:type="dxa"/>
          </w:tcPr>
          <w:p w14:paraId="3A8EB868" w14:textId="54B19992"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0.8780</w:t>
            </w:r>
          </w:p>
        </w:tc>
        <w:tc>
          <w:tcPr>
            <w:tcW w:w="2943" w:type="dxa"/>
          </w:tcPr>
          <w:p w14:paraId="1045465A" w14:textId="4EAB1B8E"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ab</w:t>
            </w:r>
          </w:p>
        </w:tc>
      </w:tr>
      <w:tr w:rsidR="0087210D" w14:paraId="0C6275AB" w14:textId="77777777" w:rsidTr="0087210D">
        <w:tc>
          <w:tcPr>
            <w:cnfStyle w:val="001000000000" w:firstRow="0" w:lastRow="0" w:firstColumn="1" w:lastColumn="0" w:oddVBand="0" w:evenVBand="0" w:oddHBand="0" w:evenHBand="0" w:firstRowFirstColumn="0" w:firstRowLastColumn="0" w:lastRowFirstColumn="0" w:lastRowLastColumn="0"/>
            <w:tcW w:w="2942" w:type="dxa"/>
          </w:tcPr>
          <w:p w14:paraId="7A0E2392" w14:textId="23AC74A6" w:rsidR="0087210D" w:rsidRPr="0087210D" w:rsidRDefault="00C51A9C" w:rsidP="0087210D">
            <w:pPr>
              <w:jc w:val="center"/>
              <w:rPr>
                <w:rFonts w:eastAsiaTheme="minorEastAsia"/>
                <w:sz w:val="24"/>
                <w:szCs w:val="24"/>
                <w:lang w:val="es-ES"/>
              </w:rPr>
            </w:pPr>
            <w:r>
              <w:rPr>
                <w:rFonts w:eastAsiaTheme="minorEastAsia"/>
                <w:sz w:val="24"/>
                <w:szCs w:val="24"/>
                <w:lang w:val="es-ES"/>
              </w:rPr>
              <w:t>0.50</w:t>
            </w:r>
          </w:p>
        </w:tc>
        <w:tc>
          <w:tcPr>
            <w:tcW w:w="2943" w:type="dxa"/>
          </w:tcPr>
          <w:p w14:paraId="0B778643" w14:textId="3CBE7B9E"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0.8713</w:t>
            </w:r>
          </w:p>
        </w:tc>
        <w:tc>
          <w:tcPr>
            <w:tcW w:w="2943" w:type="dxa"/>
          </w:tcPr>
          <w:p w14:paraId="03667350" w14:textId="66EE9661"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bc</w:t>
            </w:r>
          </w:p>
        </w:tc>
      </w:tr>
      <w:tr w:rsidR="0087210D" w14:paraId="5B5B6423" w14:textId="77777777" w:rsidTr="0087210D">
        <w:tc>
          <w:tcPr>
            <w:cnfStyle w:val="001000000000" w:firstRow="0" w:lastRow="0" w:firstColumn="1" w:lastColumn="0" w:oddVBand="0" w:evenVBand="0" w:oddHBand="0" w:evenHBand="0" w:firstRowFirstColumn="0" w:firstRowLastColumn="0" w:lastRowFirstColumn="0" w:lastRowLastColumn="0"/>
            <w:tcW w:w="2942" w:type="dxa"/>
          </w:tcPr>
          <w:p w14:paraId="3848DE0A" w14:textId="2A03D9CD" w:rsidR="0087210D" w:rsidRPr="0087210D" w:rsidRDefault="00C51A9C" w:rsidP="0087210D">
            <w:pPr>
              <w:jc w:val="center"/>
              <w:rPr>
                <w:rFonts w:eastAsiaTheme="minorEastAsia"/>
                <w:sz w:val="24"/>
                <w:szCs w:val="24"/>
                <w:lang w:val="es-ES"/>
              </w:rPr>
            </w:pPr>
            <w:r>
              <w:rPr>
                <w:rFonts w:eastAsiaTheme="minorEastAsia"/>
                <w:sz w:val="24"/>
                <w:szCs w:val="24"/>
                <w:lang w:val="es-ES"/>
              </w:rPr>
              <w:t>1</w:t>
            </w:r>
          </w:p>
        </w:tc>
        <w:tc>
          <w:tcPr>
            <w:tcW w:w="2943" w:type="dxa"/>
          </w:tcPr>
          <w:p w14:paraId="5E7AF2F5" w14:textId="621A19B9"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0.8630</w:t>
            </w:r>
          </w:p>
        </w:tc>
        <w:tc>
          <w:tcPr>
            <w:tcW w:w="2943" w:type="dxa"/>
          </w:tcPr>
          <w:p w14:paraId="2DC78C3A" w14:textId="59D42D76"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c</w:t>
            </w:r>
          </w:p>
        </w:tc>
      </w:tr>
      <w:tr w:rsidR="0087210D" w14:paraId="30BBF158" w14:textId="77777777" w:rsidTr="0087210D">
        <w:tc>
          <w:tcPr>
            <w:cnfStyle w:val="001000000000" w:firstRow="0" w:lastRow="0" w:firstColumn="1" w:lastColumn="0" w:oddVBand="0" w:evenVBand="0" w:oddHBand="0" w:evenHBand="0" w:firstRowFirstColumn="0" w:firstRowLastColumn="0" w:lastRowFirstColumn="0" w:lastRowLastColumn="0"/>
            <w:tcW w:w="2942" w:type="dxa"/>
          </w:tcPr>
          <w:p w14:paraId="5C1D6F1A" w14:textId="43024EA3" w:rsidR="0087210D" w:rsidRPr="0087210D" w:rsidRDefault="00C51A9C" w:rsidP="0087210D">
            <w:pPr>
              <w:jc w:val="center"/>
              <w:rPr>
                <w:rFonts w:eastAsiaTheme="minorEastAsia"/>
                <w:sz w:val="24"/>
                <w:szCs w:val="24"/>
                <w:lang w:val="es-ES"/>
              </w:rPr>
            </w:pPr>
            <w:r>
              <w:rPr>
                <w:rFonts w:eastAsiaTheme="minorEastAsia"/>
                <w:sz w:val="24"/>
                <w:szCs w:val="24"/>
                <w:lang w:val="es-ES"/>
              </w:rPr>
              <w:t>1.5</w:t>
            </w:r>
          </w:p>
        </w:tc>
        <w:tc>
          <w:tcPr>
            <w:tcW w:w="2943" w:type="dxa"/>
          </w:tcPr>
          <w:p w14:paraId="703C10DC" w14:textId="3EBC627A"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0.8380</w:t>
            </w:r>
          </w:p>
        </w:tc>
        <w:tc>
          <w:tcPr>
            <w:tcW w:w="2943" w:type="dxa"/>
          </w:tcPr>
          <w:p w14:paraId="4B5FAEA6" w14:textId="3FB65305" w:rsidR="0087210D" w:rsidRPr="0087210D" w:rsidRDefault="00C51A9C" w:rsidP="0087210D">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s-ES"/>
              </w:rPr>
            </w:pPr>
            <w:r>
              <w:rPr>
                <w:rFonts w:eastAsiaTheme="minorEastAsia"/>
                <w:sz w:val="24"/>
                <w:szCs w:val="24"/>
                <w:lang w:val="es-ES"/>
              </w:rPr>
              <w:t>d</w:t>
            </w:r>
          </w:p>
        </w:tc>
      </w:tr>
    </w:tbl>
    <w:p w14:paraId="57D8A794" w14:textId="27D049E9" w:rsidR="00B97308" w:rsidRDefault="00C51A9C" w:rsidP="00C51A9C">
      <w:pPr>
        <w:pStyle w:val="Prrafodelista"/>
        <w:numPr>
          <w:ilvl w:val="0"/>
          <w:numId w:val="2"/>
        </w:numPr>
        <w:jc w:val="both"/>
        <w:rPr>
          <w:rFonts w:eastAsiaTheme="minorEastAsia"/>
          <w:b/>
          <w:bCs/>
          <w:sz w:val="24"/>
          <w:szCs w:val="24"/>
          <w:lang w:val="es-ES"/>
        </w:rPr>
      </w:pPr>
      <w:r>
        <w:rPr>
          <w:rFonts w:eastAsiaTheme="minorEastAsia"/>
          <w:b/>
          <w:bCs/>
          <w:sz w:val="24"/>
          <w:szCs w:val="24"/>
          <w:lang w:val="es-ES"/>
        </w:rPr>
        <w:t>Alpha: 0.05; Df error: 140; Critical value of t: 1.9770</w:t>
      </w:r>
    </w:p>
    <w:p w14:paraId="22F02937" w14:textId="77777777" w:rsidR="00C51A9C" w:rsidRDefault="00C51A9C" w:rsidP="00C51A9C">
      <w:pPr>
        <w:pStyle w:val="Prrafodelista"/>
        <w:numPr>
          <w:ilvl w:val="0"/>
          <w:numId w:val="2"/>
        </w:numPr>
        <w:jc w:val="both"/>
        <w:rPr>
          <w:rFonts w:eastAsiaTheme="minorEastAsia"/>
          <w:b/>
          <w:bCs/>
          <w:sz w:val="24"/>
          <w:szCs w:val="24"/>
          <w:lang w:val="es-ES"/>
        </w:rPr>
      </w:pPr>
      <w:r>
        <w:rPr>
          <w:rFonts w:eastAsiaTheme="minorEastAsia"/>
          <w:b/>
          <w:bCs/>
          <w:sz w:val="24"/>
          <w:szCs w:val="24"/>
          <w:lang w:val="es-ES"/>
        </w:rPr>
        <w:t xml:space="preserve">Treatments with the same letter are not significantly different. </w:t>
      </w:r>
    </w:p>
    <w:p w14:paraId="3B1C4B84" w14:textId="3AF0AEDA" w:rsidR="00C51A9C" w:rsidRDefault="00C51A9C" w:rsidP="00C51A9C">
      <w:pPr>
        <w:jc w:val="both"/>
        <w:rPr>
          <w:rFonts w:eastAsiaTheme="minorEastAsia"/>
          <w:b/>
          <w:bCs/>
          <w:sz w:val="24"/>
          <w:szCs w:val="24"/>
          <w:lang w:val="es-ES"/>
        </w:rPr>
      </w:pPr>
    </w:p>
    <w:p w14:paraId="23517FF0" w14:textId="27827D65" w:rsidR="00C51A9C" w:rsidRPr="00C51A9C" w:rsidRDefault="00C51A9C" w:rsidP="00C51A9C">
      <w:pPr>
        <w:pStyle w:val="Prrafodelista"/>
        <w:numPr>
          <w:ilvl w:val="0"/>
          <w:numId w:val="1"/>
        </w:numPr>
        <w:jc w:val="both"/>
        <w:rPr>
          <w:rFonts w:eastAsiaTheme="minorEastAsia"/>
          <w:b/>
          <w:bCs/>
          <w:sz w:val="24"/>
          <w:szCs w:val="24"/>
          <w:lang w:val="es-ES"/>
        </w:rPr>
      </w:pPr>
      <w:r w:rsidRPr="00C51A9C">
        <w:rPr>
          <w:rFonts w:eastAsiaTheme="minorEastAsia"/>
          <w:b/>
          <w:bCs/>
          <w:sz w:val="24"/>
          <w:szCs w:val="24"/>
          <w:lang w:val="es-ES"/>
        </w:rPr>
        <w:t>Conclusions</w:t>
      </w:r>
    </w:p>
    <w:p w14:paraId="5CEC6EA1" w14:textId="6D3EE231" w:rsidR="00C51A9C" w:rsidRDefault="00C51A9C" w:rsidP="00C51A9C">
      <w:pPr>
        <w:pStyle w:val="Prrafodelista"/>
        <w:numPr>
          <w:ilvl w:val="0"/>
          <w:numId w:val="4"/>
        </w:numPr>
        <w:jc w:val="both"/>
        <w:rPr>
          <w:rFonts w:eastAsiaTheme="minorEastAsia"/>
          <w:sz w:val="24"/>
          <w:szCs w:val="24"/>
          <w:lang w:val="es-ES"/>
        </w:rPr>
      </w:pPr>
      <w:r w:rsidRPr="00C51A9C">
        <w:rPr>
          <w:rFonts w:eastAsiaTheme="minorEastAsia"/>
          <w:sz w:val="24"/>
          <w:szCs w:val="24"/>
          <w:lang w:val="es-ES"/>
        </w:rPr>
        <w:t>With a significance level of 0.05, there is sufficient statistical evidence that indicates that the edaphic mineral fertilization treatments have an effect on the chlorophyll content, where the treatment of dose 1 had the best performance since the highest value was observed for the LIC1 index</w:t>
      </w:r>
      <w:r>
        <w:rPr>
          <w:rFonts w:eastAsiaTheme="minorEastAsia"/>
          <w:sz w:val="24"/>
          <w:szCs w:val="24"/>
          <w:lang w:val="es-ES"/>
        </w:rPr>
        <w:t xml:space="preserve"> (</w:t>
      </w:r>
      <w:r w:rsidR="006E30EB">
        <w:rPr>
          <w:rFonts w:eastAsiaTheme="minorEastAsia"/>
          <w:sz w:val="24"/>
          <w:szCs w:val="24"/>
          <w:lang w:val="es-ES"/>
        </w:rPr>
        <w:t xml:space="preserve">df=4; F value= 28.693; </w:t>
      </w:r>
      <w:r w:rsidR="006E30EB">
        <w:rPr>
          <w:rFonts w:eastAsiaTheme="minorEastAsia"/>
          <w:i/>
          <w:iCs/>
          <w:sz w:val="24"/>
          <w:szCs w:val="24"/>
          <w:lang w:val="es-ES"/>
        </w:rPr>
        <w:t>p&lt;</w:t>
      </w:r>
      <w:r w:rsidR="006E30EB">
        <w:rPr>
          <w:rFonts w:eastAsiaTheme="minorEastAsia"/>
          <w:sz w:val="24"/>
          <w:szCs w:val="24"/>
          <w:lang w:val="es-ES"/>
        </w:rPr>
        <w:t>2*10</w:t>
      </w:r>
      <w:r w:rsidR="006E30EB">
        <w:rPr>
          <w:rFonts w:eastAsiaTheme="minorEastAsia"/>
          <w:sz w:val="24"/>
          <w:szCs w:val="24"/>
          <w:vertAlign w:val="superscript"/>
          <w:lang w:val="es-ES"/>
        </w:rPr>
        <w:t>-16</w:t>
      </w:r>
      <w:r w:rsidR="006E30EB">
        <w:rPr>
          <w:rFonts w:eastAsiaTheme="minorEastAsia"/>
          <w:sz w:val="24"/>
          <w:szCs w:val="24"/>
          <w:lang w:val="es-ES"/>
        </w:rPr>
        <w:t xml:space="preserve">). </w:t>
      </w:r>
    </w:p>
    <w:p w14:paraId="20785CBA" w14:textId="4555E8DA" w:rsidR="006E30EB" w:rsidRDefault="006E30EB" w:rsidP="00C51A9C">
      <w:pPr>
        <w:pStyle w:val="Prrafodelista"/>
        <w:numPr>
          <w:ilvl w:val="0"/>
          <w:numId w:val="4"/>
        </w:numPr>
        <w:jc w:val="both"/>
        <w:rPr>
          <w:rFonts w:eastAsiaTheme="minorEastAsia"/>
          <w:sz w:val="24"/>
          <w:szCs w:val="24"/>
          <w:lang w:val="es-ES"/>
        </w:rPr>
      </w:pPr>
      <w:r w:rsidRPr="006E30EB">
        <w:rPr>
          <w:rFonts w:eastAsiaTheme="minorEastAsia"/>
          <w:sz w:val="24"/>
          <w:szCs w:val="24"/>
          <w:lang w:val="es-ES"/>
        </w:rPr>
        <w:t>The results suggest that the production cycles in interaction with the fertilization treatments do not affect the response of the LIC1 index.</w:t>
      </w:r>
    </w:p>
    <w:p w14:paraId="0AB7AFFF" w14:textId="7D0F146F" w:rsidR="006E30EB" w:rsidRDefault="006E30EB" w:rsidP="006E30EB">
      <w:pPr>
        <w:jc w:val="both"/>
        <w:rPr>
          <w:rFonts w:eastAsiaTheme="minorEastAsia"/>
          <w:sz w:val="24"/>
          <w:szCs w:val="24"/>
          <w:lang w:val="es-ES"/>
        </w:rPr>
      </w:pPr>
    </w:p>
    <w:p w14:paraId="468FEA93" w14:textId="1A26D3CF" w:rsidR="006E30EB" w:rsidRDefault="006E30EB" w:rsidP="006E30EB">
      <w:pPr>
        <w:jc w:val="both"/>
        <w:rPr>
          <w:rFonts w:eastAsiaTheme="minorEastAsia"/>
          <w:sz w:val="24"/>
          <w:szCs w:val="24"/>
          <w:lang w:val="es-ES"/>
        </w:rPr>
      </w:pPr>
    </w:p>
    <w:p w14:paraId="5E986DD6" w14:textId="7CB07CF7" w:rsidR="006E30EB" w:rsidRDefault="006E30EB" w:rsidP="006E30EB">
      <w:pPr>
        <w:jc w:val="both"/>
        <w:rPr>
          <w:rFonts w:eastAsiaTheme="minorEastAsia"/>
          <w:sz w:val="24"/>
          <w:szCs w:val="24"/>
          <w:lang w:val="es-ES"/>
        </w:rPr>
      </w:pPr>
    </w:p>
    <w:p w14:paraId="19B6F842" w14:textId="316FB01A" w:rsidR="006E30EB" w:rsidRPr="006E30EB" w:rsidRDefault="006E30EB" w:rsidP="006E30EB">
      <w:pPr>
        <w:pStyle w:val="Prrafodelista"/>
        <w:numPr>
          <w:ilvl w:val="0"/>
          <w:numId w:val="1"/>
        </w:numPr>
        <w:jc w:val="both"/>
        <w:rPr>
          <w:rFonts w:eastAsiaTheme="minorEastAsia"/>
          <w:b/>
          <w:bCs/>
          <w:sz w:val="24"/>
          <w:szCs w:val="24"/>
          <w:lang w:val="es-ES"/>
        </w:rPr>
      </w:pPr>
      <w:r>
        <w:rPr>
          <w:rFonts w:eastAsiaTheme="minorEastAsia"/>
          <w:b/>
          <w:bCs/>
          <w:sz w:val="24"/>
          <w:szCs w:val="24"/>
          <w:lang w:val="es-ES"/>
        </w:rPr>
        <w:lastRenderedPageBreak/>
        <w:t xml:space="preserve">Bibliography </w:t>
      </w:r>
    </w:p>
    <w:p w14:paraId="7C7BCB24" w14:textId="331E6E06" w:rsidR="006E30EB" w:rsidRPr="006E30EB" w:rsidRDefault="006E30EB" w:rsidP="006E30EB">
      <w:pPr>
        <w:widowControl w:val="0"/>
        <w:autoSpaceDE w:val="0"/>
        <w:autoSpaceDN w:val="0"/>
        <w:adjustRightInd w:val="0"/>
        <w:spacing w:line="240" w:lineRule="auto"/>
        <w:ind w:left="480" w:hanging="480"/>
        <w:rPr>
          <w:rFonts w:ascii="Calibri" w:hAnsi="Calibri" w:cs="Calibri"/>
          <w:noProof/>
          <w:sz w:val="24"/>
          <w:szCs w:val="24"/>
        </w:rPr>
      </w:pPr>
      <w:r>
        <w:rPr>
          <w:rFonts w:eastAsiaTheme="minorEastAsia"/>
          <w:b/>
          <w:bCs/>
          <w:sz w:val="24"/>
          <w:szCs w:val="24"/>
          <w:lang w:val="es-ES"/>
        </w:rPr>
        <w:fldChar w:fldCharType="begin" w:fldLock="1"/>
      </w:r>
      <w:r>
        <w:rPr>
          <w:rFonts w:eastAsiaTheme="minorEastAsia"/>
          <w:b/>
          <w:bCs/>
          <w:sz w:val="24"/>
          <w:szCs w:val="24"/>
          <w:lang w:val="es-ES"/>
        </w:rPr>
        <w:instrText xml:space="preserve">ADDIN Mendeley Bibliography CSL_BIBLIOGRAPHY </w:instrText>
      </w:r>
      <w:r>
        <w:rPr>
          <w:rFonts w:eastAsiaTheme="minorEastAsia"/>
          <w:b/>
          <w:bCs/>
          <w:sz w:val="24"/>
          <w:szCs w:val="24"/>
          <w:lang w:val="es-ES"/>
        </w:rPr>
        <w:fldChar w:fldCharType="separate"/>
      </w:r>
      <w:r w:rsidRPr="006E30EB">
        <w:rPr>
          <w:rFonts w:ascii="Calibri" w:hAnsi="Calibri" w:cs="Calibri"/>
          <w:noProof/>
          <w:sz w:val="24"/>
          <w:szCs w:val="24"/>
        </w:rPr>
        <w:t xml:space="preserve">Mirzaei, M., Marofi, S., Abbasi, M., Solgi, E., Karimi, R., &amp; Verrelst, J. (2019). Scenario-based discrimination of common grapevine varieties using in-field hyperspectral data in the western of Iran. </w:t>
      </w:r>
      <w:r w:rsidRPr="006E30EB">
        <w:rPr>
          <w:rFonts w:ascii="Calibri" w:hAnsi="Calibri" w:cs="Calibri"/>
          <w:i/>
          <w:iCs/>
          <w:noProof/>
          <w:sz w:val="24"/>
          <w:szCs w:val="24"/>
        </w:rPr>
        <w:t>International Journal of Applied Earth Observation and Geoinformation</w:t>
      </w:r>
      <w:r w:rsidRPr="006E30EB">
        <w:rPr>
          <w:rFonts w:ascii="Calibri" w:hAnsi="Calibri" w:cs="Calibri"/>
          <w:noProof/>
          <w:sz w:val="24"/>
          <w:szCs w:val="24"/>
        </w:rPr>
        <w:t xml:space="preserve">, </w:t>
      </w:r>
      <w:r w:rsidRPr="006E30EB">
        <w:rPr>
          <w:rFonts w:ascii="Calibri" w:hAnsi="Calibri" w:cs="Calibri"/>
          <w:i/>
          <w:iCs/>
          <w:noProof/>
          <w:sz w:val="24"/>
          <w:szCs w:val="24"/>
        </w:rPr>
        <w:t>80</w:t>
      </w:r>
      <w:r w:rsidRPr="006E30EB">
        <w:rPr>
          <w:rFonts w:ascii="Calibri" w:hAnsi="Calibri" w:cs="Calibri"/>
          <w:noProof/>
          <w:sz w:val="24"/>
          <w:szCs w:val="24"/>
        </w:rPr>
        <w:t>, 26–37. https://doi.org/10.1016/j.jag.2019.04.002</w:t>
      </w:r>
    </w:p>
    <w:p w14:paraId="342D19CB" w14:textId="77777777" w:rsidR="006E30EB" w:rsidRPr="006E30EB" w:rsidRDefault="006E30EB" w:rsidP="006E30EB">
      <w:pPr>
        <w:widowControl w:val="0"/>
        <w:autoSpaceDE w:val="0"/>
        <w:autoSpaceDN w:val="0"/>
        <w:adjustRightInd w:val="0"/>
        <w:spacing w:line="240" w:lineRule="auto"/>
        <w:ind w:left="480" w:hanging="480"/>
        <w:rPr>
          <w:rFonts w:ascii="Calibri" w:hAnsi="Calibri" w:cs="Calibri"/>
          <w:noProof/>
          <w:sz w:val="24"/>
        </w:rPr>
      </w:pPr>
      <w:r w:rsidRPr="006E30EB">
        <w:rPr>
          <w:rFonts w:ascii="Calibri" w:hAnsi="Calibri" w:cs="Calibri"/>
          <w:noProof/>
          <w:sz w:val="24"/>
          <w:szCs w:val="24"/>
        </w:rPr>
        <w:t xml:space="preserve">Watt, M. S., Buddenbaum, H., Leonardo, E. M. C., Estarija, H. J. C., Bown, H. E., Gomez-Gallego, M., Hartley, R., Massam, P., Wright, L., &amp; Zarco-Tejada, P. J. (2020). Using hyperspectral plant traits linked to photosynthetic efficiency to assess N and P partition. </w:t>
      </w:r>
      <w:r w:rsidRPr="006E30EB">
        <w:rPr>
          <w:rFonts w:ascii="Calibri" w:hAnsi="Calibri" w:cs="Calibri"/>
          <w:i/>
          <w:iCs/>
          <w:noProof/>
          <w:sz w:val="24"/>
          <w:szCs w:val="24"/>
        </w:rPr>
        <w:t>ISPRS Journal of Photogrammetry and Remote Sensing</w:t>
      </w:r>
      <w:r w:rsidRPr="006E30EB">
        <w:rPr>
          <w:rFonts w:ascii="Calibri" w:hAnsi="Calibri" w:cs="Calibri"/>
          <w:noProof/>
          <w:sz w:val="24"/>
          <w:szCs w:val="24"/>
        </w:rPr>
        <w:t xml:space="preserve">, </w:t>
      </w:r>
      <w:r w:rsidRPr="006E30EB">
        <w:rPr>
          <w:rFonts w:ascii="Calibri" w:hAnsi="Calibri" w:cs="Calibri"/>
          <w:i/>
          <w:iCs/>
          <w:noProof/>
          <w:sz w:val="24"/>
          <w:szCs w:val="24"/>
        </w:rPr>
        <w:t>169</w:t>
      </w:r>
      <w:r w:rsidRPr="006E30EB">
        <w:rPr>
          <w:rFonts w:ascii="Calibri" w:hAnsi="Calibri" w:cs="Calibri"/>
          <w:noProof/>
          <w:sz w:val="24"/>
          <w:szCs w:val="24"/>
        </w:rPr>
        <w:t>, 406–420. https://doi.org/10.1016/j.isprsjprs.2020.09.006</w:t>
      </w:r>
    </w:p>
    <w:p w14:paraId="4729920B" w14:textId="0749BE83" w:rsidR="006E30EB" w:rsidRPr="006E30EB" w:rsidRDefault="006E30EB" w:rsidP="006E30EB">
      <w:pPr>
        <w:rPr>
          <w:lang w:val="es-ES"/>
        </w:rPr>
      </w:pPr>
      <w:r>
        <w:rPr>
          <w:lang w:val="es-ES"/>
        </w:rPr>
        <w:fldChar w:fldCharType="end"/>
      </w:r>
    </w:p>
    <w:p w14:paraId="7CB03506" w14:textId="6401D330" w:rsidR="00C51A9C" w:rsidRDefault="006E30EB" w:rsidP="006E30EB">
      <w:pPr>
        <w:pStyle w:val="Prrafodelista"/>
        <w:numPr>
          <w:ilvl w:val="0"/>
          <w:numId w:val="1"/>
        </w:numPr>
        <w:jc w:val="both"/>
        <w:rPr>
          <w:rFonts w:eastAsiaTheme="minorEastAsia"/>
          <w:b/>
          <w:bCs/>
          <w:sz w:val="24"/>
          <w:szCs w:val="24"/>
          <w:lang w:val="es-ES"/>
        </w:rPr>
      </w:pPr>
      <w:r w:rsidRPr="006E30EB">
        <w:rPr>
          <w:rFonts w:eastAsiaTheme="minorEastAsia"/>
          <w:b/>
          <w:bCs/>
          <w:sz w:val="24"/>
          <w:szCs w:val="24"/>
          <w:lang w:val="es-ES"/>
        </w:rPr>
        <w:t>Annexes</w:t>
      </w:r>
    </w:p>
    <w:p w14:paraId="350FD6FE" w14:textId="477632CB" w:rsidR="006E30EB" w:rsidRDefault="006E30EB" w:rsidP="006E30EB">
      <w:pPr>
        <w:jc w:val="both"/>
        <w:rPr>
          <w:rFonts w:eastAsiaTheme="minorEastAsia"/>
          <w:b/>
          <w:bCs/>
          <w:sz w:val="24"/>
          <w:szCs w:val="24"/>
          <w:lang w:val="es-ES"/>
        </w:rPr>
      </w:pPr>
      <w:r w:rsidRPr="006E30EB">
        <w:rPr>
          <w:rFonts w:eastAsiaTheme="minorEastAsia"/>
          <w:b/>
          <w:bCs/>
          <w:sz w:val="24"/>
          <w:szCs w:val="24"/>
          <w:lang w:val="es-ES"/>
        </w:rPr>
        <w:t>Validation of the assumptions of normality of the residuals and homogeneity of variances</w:t>
      </w:r>
      <w:r>
        <w:rPr>
          <w:rFonts w:eastAsiaTheme="minorEastAsia"/>
          <w:b/>
          <w:bCs/>
          <w:sz w:val="24"/>
          <w:szCs w:val="24"/>
          <w:lang w:val="es-ES"/>
        </w:rPr>
        <w:t>.</w:t>
      </w:r>
    </w:p>
    <w:p w14:paraId="697D2E7B" w14:textId="026D10CF" w:rsidR="006E30EB" w:rsidRDefault="006E30EB" w:rsidP="006E30EB">
      <w:pPr>
        <w:jc w:val="both"/>
        <w:rPr>
          <w:rFonts w:eastAsiaTheme="minorEastAsia"/>
          <w:sz w:val="24"/>
          <w:szCs w:val="24"/>
          <w:lang w:val="es-ES"/>
        </w:rPr>
      </w:pPr>
    </w:p>
    <w:p w14:paraId="2D2A8CCC" w14:textId="5F5578CE" w:rsidR="006E30EB" w:rsidRDefault="006E30EB" w:rsidP="006E30EB">
      <w:pPr>
        <w:jc w:val="both"/>
        <w:rPr>
          <w:rFonts w:eastAsiaTheme="minorEastAsia"/>
          <w:sz w:val="24"/>
          <w:szCs w:val="24"/>
          <w:lang w:val="es-ES"/>
        </w:rPr>
      </w:pPr>
      <w:r>
        <w:rPr>
          <w:rFonts w:eastAsiaTheme="minorEastAsia"/>
          <w:sz w:val="24"/>
          <w:szCs w:val="24"/>
          <w:lang w:val="es-ES"/>
        </w:rPr>
        <w:t xml:space="preserve">Normality of residuals </w:t>
      </w:r>
    </w:p>
    <w:p w14:paraId="33F0D9D1" w14:textId="7461DD8C"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geary.norm.test(res.m1)</w:t>
      </w:r>
    </w:p>
    <w:p w14:paraId="39E101D1" w14:textId="77777777" w:rsidR="006E30EB" w:rsidRPr="006E30EB" w:rsidRDefault="006E30EB" w:rsidP="006E30EB">
      <w:pPr>
        <w:jc w:val="both"/>
        <w:rPr>
          <w:rFonts w:eastAsiaTheme="minorEastAsia"/>
          <w:sz w:val="24"/>
          <w:szCs w:val="24"/>
          <w:lang w:val="es-ES"/>
        </w:rPr>
      </w:pPr>
    </w:p>
    <w:p w14:paraId="5324A53C" w14:textId="6E094325"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ab/>
        <w:t>Geary test for normality</w:t>
      </w:r>
    </w:p>
    <w:p w14:paraId="3FE3C244" w14:textId="77777777"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data:  res.m1</w:t>
      </w:r>
    </w:p>
    <w:p w14:paraId="24BCE6AC" w14:textId="2BAC7723" w:rsidR="005C677C" w:rsidRDefault="006E30EB" w:rsidP="00322EE0">
      <w:pPr>
        <w:jc w:val="both"/>
        <w:rPr>
          <w:rFonts w:eastAsiaTheme="minorEastAsia"/>
          <w:sz w:val="24"/>
          <w:szCs w:val="24"/>
          <w:lang w:val="es-ES"/>
        </w:rPr>
      </w:pPr>
      <w:r w:rsidRPr="006E30EB">
        <w:rPr>
          <w:rFonts w:eastAsiaTheme="minorEastAsia"/>
          <w:sz w:val="24"/>
          <w:szCs w:val="24"/>
          <w:lang w:val="es-ES"/>
        </w:rPr>
        <w:t>d = 0.74791, p-value = 0.996</w:t>
      </w:r>
    </w:p>
    <w:p w14:paraId="12633D87" w14:textId="043C2649" w:rsidR="006E30EB" w:rsidRDefault="006E30EB" w:rsidP="00322EE0">
      <w:pPr>
        <w:jc w:val="both"/>
        <w:rPr>
          <w:rFonts w:eastAsiaTheme="minorEastAsia"/>
          <w:sz w:val="24"/>
          <w:szCs w:val="24"/>
          <w:lang w:val="es-ES"/>
        </w:rPr>
      </w:pPr>
    </w:p>
    <w:p w14:paraId="12956184" w14:textId="762E8804" w:rsidR="006E30EB" w:rsidRDefault="006E30EB" w:rsidP="00322EE0">
      <w:pPr>
        <w:jc w:val="both"/>
        <w:rPr>
          <w:rFonts w:eastAsiaTheme="minorEastAsia"/>
          <w:sz w:val="24"/>
          <w:szCs w:val="24"/>
          <w:lang w:val="es-ES"/>
        </w:rPr>
      </w:pPr>
      <w:r w:rsidRPr="006E30EB">
        <w:rPr>
          <w:rFonts w:eastAsiaTheme="minorEastAsia"/>
          <w:sz w:val="24"/>
          <w:szCs w:val="24"/>
          <w:lang w:val="es-ES"/>
        </w:rPr>
        <w:t>Homocedasticity</w:t>
      </w:r>
      <w:r>
        <w:rPr>
          <w:rFonts w:eastAsiaTheme="minorEastAsia"/>
          <w:sz w:val="24"/>
          <w:szCs w:val="24"/>
          <w:lang w:val="es-ES"/>
        </w:rPr>
        <w:t xml:space="preserve"> of variance </w:t>
      </w:r>
    </w:p>
    <w:p w14:paraId="26C129A5" w14:textId="77777777"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Levene's Test for Homogeneity of Variance (center = median)</w:t>
      </w:r>
    </w:p>
    <w:p w14:paraId="5B676898" w14:textId="77777777"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 xml:space="preserve">       Df F value Pr(&gt;F)</w:t>
      </w:r>
    </w:p>
    <w:p w14:paraId="29247E44" w14:textId="77777777" w:rsidR="006E30EB" w:rsidRPr="006E30EB" w:rsidRDefault="006E30EB" w:rsidP="006E30EB">
      <w:pPr>
        <w:jc w:val="both"/>
        <w:rPr>
          <w:rFonts w:eastAsiaTheme="minorEastAsia"/>
          <w:sz w:val="24"/>
          <w:szCs w:val="24"/>
          <w:lang w:val="es-ES"/>
        </w:rPr>
      </w:pPr>
      <w:r w:rsidRPr="006E30EB">
        <w:rPr>
          <w:rFonts w:eastAsiaTheme="minorEastAsia"/>
          <w:sz w:val="24"/>
          <w:szCs w:val="24"/>
          <w:lang w:val="es-ES"/>
        </w:rPr>
        <w:t>group   4  1.2746 0.2827</w:t>
      </w:r>
    </w:p>
    <w:p w14:paraId="7224E7BA" w14:textId="1A032BB6" w:rsidR="006E30EB" w:rsidRDefault="006E30EB" w:rsidP="006E30EB">
      <w:pPr>
        <w:jc w:val="both"/>
        <w:rPr>
          <w:rFonts w:eastAsiaTheme="minorEastAsia"/>
          <w:sz w:val="24"/>
          <w:szCs w:val="24"/>
          <w:lang w:val="es-ES"/>
        </w:rPr>
      </w:pPr>
      <w:r w:rsidRPr="006E30EB">
        <w:rPr>
          <w:rFonts w:eastAsiaTheme="minorEastAsia"/>
          <w:sz w:val="24"/>
          <w:szCs w:val="24"/>
          <w:lang w:val="es-ES"/>
        </w:rPr>
        <w:t xml:space="preserve">      145               </w:t>
      </w:r>
    </w:p>
    <w:p w14:paraId="06B0AA48" w14:textId="4281325F" w:rsidR="006E30EB" w:rsidRDefault="006E30EB" w:rsidP="006E30EB">
      <w:pPr>
        <w:jc w:val="both"/>
        <w:rPr>
          <w:rFonts w:eastAsiaTheme="minorEastAsia"/>
          <w:sz w:val="24"/>
          <w:szCs w:val="24"/>
          <w:lang w:val="es-ES"/>
        </w:rPr>
      </w:pPr>
    </w:p>
    <w:p w14:paraId="71763269" w14:textId="5E78E66C" w:rsidR="006E30EB" w:rsidRDefault="006E30EB" w:rsidP="006E30EB">
      <w:pPr>
        <w:jc w:val="both"/>
        <w:rPr>
          <w:rFonts w:eastAsiaTheme="minorEastAsia"/>
          <w:sz w:val="24"/>
          <w:szCs w:val="24"/>
          <w:lang w:val="es-ES"/>
        </w:rPr>
      </w:pPr>
    </w:p>
    <w:p w14:paraId="5F2C95DF" w14:textId="4C7E87A5" w:rsidR="006E30EB" w:rsidRDefault="006E30EB" w:rsidP="006E30EB">
      <w:pPr>
        <w:jc w:val="both"/>
        <w:rPr>
          <w:rFonts w:eastAsiaTheme="minorEastAsia"/>
          <w:sz w:val="24"/>
          <w:szCs w:val="24"/>
          <w:lang w:val="es-ES"/>
        </w:rPr>
      </w:pPr>
    </w:p>
    <w:p w14:paraId="2D26938B" w14:textId="3BF703BA" w:rsidR="006E30EB" w:rsidRDefault="006E30EB" w:rsidP="006E30EB">
      <w:pPr>
        <w:jc w:val="both"/>
        <w:rPr>
          <w:rFonts w:eastAsiaTheme="minorEastAsia"/>
          <w:sz w:val="24"/>
          <w:szCs w:val="24"/>
          <w:lang w:val="es-ES"/>
        </w:rPr>
      </w:pPr>
    </w:p>
    <w:p w14:paraId="0E56D44F" w14:textId="153E6661" w:rsidR="006E30EB" w:rsidRDefault="006E30EB" w:rsidP="006E30EB">
      <w:pPr>
        <w:jc w:val="both"/>
        <w:rPr>
          <w:rFonts w:eastAsiaTheme="minorEastAsia"/>
          <w:sz w:val="24"/>
          <w:szCs w:val="24"/>
          <w:lang w:val="es-ES"/>
        </w:rPr>
      </w:pPr>
      <w:r w:rsidRPr="006E30EB">
        <w:lastRenderedPageBreak/>
        <w:drawing>
          <wp:inline distT="0" distB="0" distL="0" distR="0" wp14:anchorId="19978F04" wp14:editId="66563BBB">
            <wp:extent cx="5257143" cy="3085714"/>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143" cy="3085714"/>
                    </a:xfrm>
                    <a:prstGeom prst="rect">
                      <a:avLst/>
                    </a:prstGeom>
                  </pic:spPr>
                </pic:pic>
              </a:graphicData>
            </a:graphic>
          </wp:inline>
        </w:drawing>
      </w:r>
    </w:p>
    <w:p w14:paraId="15EA4ADE" w14:textId="17952F66" w:rsidR="006E30EB" w:rsidRDefault="006E30EB" w:rsidP="006E30EB">
      <w:pPr>
        <w:jc w:val="both"/>
        <w:rPr>
          <w:rFonts w:eastAsiaTheme="minorEastAsia"/>
          <w:sz w:val="24"/>
          <w:szCs w:val="24"/>
          <w:lang w:val="es-ES"/>
        </w:rPr>
      </w:pPr>
      <w:r w:rsidRPr="006E30EB">
        <w:drawing>
          <wp:inline distT="0" distB="0" distL="0" distR="0" wp14:anchorId="67273F4F" wp14:editId="67B4A119">
            <wp:extent cx="5257143" cy="3085714"/>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143" cy="3085714"/>
                    </a:xfrm>
                    <a:prstGeom prst="rect">
                      <a:avLst/>
                    </a:prstGeom>
                  </pic:spPr>
                </pic:pic>
              </a:graphicData>
            </a:graphic>
          </wp:inline>
        </w:drawing>
      </w:r>
    </w:p>
    <w:p w14:paraId="5148246F" w14:textId="0DFD9B0B" w:rsidR="006E30EB" w:rsidRDefault="006E30EB" w:rsidP="006E30EB">
      <w:pPr>
        <w:jc w:val="both"/>
        <w:rPr>
          <w:rFonts w:eastAsiaTheme="minorEastAsia"/>
          <w:sz w:val="24"/>
          <w:szCs w:val="24"/>
          <w:lang w:val="es-ES"/>
        </w:rPr>
      </w:pPr>
      <w:r w:rsidRPr="006E30EB">
        <w:lastRenderedPageBreak/>
        <w:drawing>
          <wp:inline distT="0" distB="0" distL="0" distR="0" wp14:anchorId="5531AD0B" wp14:editId="6DC853BD">
            <wp:extent cx="5257143" cy="3085714"/>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143" cy="3085714"/>
                    </a:xfrm>
                    <a:prstGeom prst="rect">
                      <a:avLst/>
                    </a:prstGeom>
                  </pic:spPr>
                </pic:pic>
              </a:graphicData>
            </a:graphic>
          </wp:inline>
        </w:drawing>
      </w:r>
    </w:p>
    <w:p w14:paraId="218036A2" w14:textId="77777777" w:rsidR="006E30EB" w:rsidRDefault="006E30EB" w:rsidP="006E30EB">
      <w:pPr>
        <w:jc w:val="both"/>
        <w:rPr>
          <w:rFonts w:eastAsiaTheme="minorEastAsia"/>
          <w:sz w:val="24"/>
          <w:szCs w:val="24"/>
          <w:lang w:val="es-ES"/>
        </w:rPr>
      </w:pPr>
    </w:p>
    <w:p w14:paraId="404BA38E" w14:textId="77777777" w:rsidR="006E30EB" w:rsidRPr="006E30EB" w:rsidRDefault="006E30EB" w:rsidP="00322EE0">
      <w:pPr>
        <w:jc w:val="both"/>
        <w:rPr>
          <w:rFonts w:eastAsiaTheme="minorEastAsia"/>
          <w:sz w:val="24"/>
          <w:szCs w:val="24"/>
          <w:lang w:val="es-ES"/>
        </w:rPr>
      </w:pPr>
    </w:p>
    <w:p w14:paraId="19485720" w14:textId="77777777" w:rsidR="005C677C" w:rsidRPr="005519F0" w:rsidRDefault="005C677C" w:rsidP="00322EE0">
      <w:pPr>
        <w:jc w:val="both"/>
        <w:rPr>
          <w:sz w:val="24"/>
          <w:szCs w:val="24"/>
          <w:lang w:val="es-ES"/>
        </w:rPr>
      </w:pPr>
    </w:p>
    <w:sectPr w:rsidR="005C677C" w:rsidRPr="005519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49A8"/>
    <w:multiLevelType w:val="hybridMultilevel"/>
    <w:tmpl w:val="EF483D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D46681"/>
    <w:multiLevelType w:val="hybridMultilevel"/>
    <w:tmpl w:val="EAB814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357DEB"/>
    <w:multiLevelType w:val="hybridMultilevel"/>
    <w:tmpl w:val="02C0EE62"/>
    <w:lvl w:ilvl="0" w:tplc="3B547C5A">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B74066A"/>
    <w:multiLevelType w:val="hybridMultilevel"/>
    <w:tmpl w:val="9CBC78F2"/>
    <w:lvl w:ilvl="0" w:tplc="3B547C5A">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F0"/>
    <w:rsid w:val="0015311B"/>
    <w:rsid w:val="00322EE0"/>
    <w:rsid w:val="005519F0"/>
    <w:rsid w:val="005C677C"/>
    <w:rsid w:val="006B0D5B"/>
    <w:rsid w:val="006E30EB"/>
    <w:rsid w:val="0087210D"/>
    <w:rsid w:val="00B97308"/>
    <w:rsid w:val="00C51A9C"/>
    <w:rsid w:val="00F70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2A7A"/>
  <w15:chartTrackingRefBased/>
  <w15:docId w15:val="{C64F3745-2BAE-47B4-A320-C39F03F0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9F0"/>
    <w:pPr>
      <w:ind w:left="720"/>
      <w:contextualSpacing/>
    </w:pPr>
  </w:style>
  <w:style w:type="character" w:styleId="Textodelmarcadordeposicin">
    <w:name w:val="Placeholder Text"/>
    <w:basedOn w:val="Fuentedeprrafopredeter"/>
    <w:uiPriority w:val="99"/>
    <w:semiHidden/>
    <w:rsid w:val="00322EE0"/>
    <w:rPr>
      <w:color w:val="808080"/>
    </w:rPr>
  </w:style>
  <w:style w:type="table" w:styleId="Tablaconcuadrcula">
    <w:name w:val="Table Grid"/>
    <w:basedOn w:val="Tablanormal"/>
    <w:uiPriority w:val="39"/>
    <w:rsid w:val="006B0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6B0D5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6B0D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B0D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8072-FEBD-420A-9C9B-3524416C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2009</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Catalina  Flechas Bejarano</dc:creator>
  <cp:keywords/>
  <dc:description/>
  <cp:lastModifiedBy>Natalia Catalina  Flechas Bejarano</cp:lastModifiedBy>
  <cp:revision>3</cp:revision>
  <dcterms:created xsi:type="dcterms:W3CDTF">2020-12-10T04:55:00Z</dcterms:created>
  <dcterms:modified xsi:type="dcterms:W3CDTF">2020-12-10T07:20:00Z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b38c9515-5d71-3b4c-8f57-de2cd14a12b0</vt:lpwstr>
  </property>
  <property fmtid="{D5CDD505-2E9C-101B-9397-08002B2CF9AE}" pid="24" name="Mendeley Citation Style_1">
    <vt:lpwstr>http://www.zotero.org/styles/apa</vt:lpwstr>
  </property>
</Properties>
</file>