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60" w:before="0"/>
        <w:jc w:val="center"/>
      </w:pPr>
      <w:r>
        <w:rPr>
          <w:rFonts w:ascii="Arial" w:cs="Arial" w:eastAsia="Arial" w:hAnsi="Arial"/>
          <w:b/>
          <w:bCs/>
          <w:color w:val="2E75B6"/>
          <w:sz w:val="48"/>
          <w:szCs w:val="48"/>
        </w:rPr>
        <w:t xml:space="preserve">INFORME TÉCNICO</w:t>
      </w:r>
    </w:p>
    <w:p>
      <w:pPr>
        <w:spacing w:after="120" w:before="0"/>
        <w:jc w:val="center"/>
      </w:pPr>
      <w:r>
        <w:rPr>
          <w:rFonts w:ascii="Arial" w:cs="Arial" w:eastAsia="Arial" w:hAnsi="Arial"/>
          <w:b/>
          <w:bCs/>
          <w:color w:val="1F4E79"/>
          <w:sz w:val="36"/>
          <w:szCs w:val="36"/>
        </w:rPr>
        <w:t xml:space="preserve">Modelo Espacio Vectorial con TF-IDF</w:t>
      </w:r>
    </w:p>
    <w:p>
      <w:pPr>
        <w:spacing w:after="80" w:before="0"/>
        <w:jc w:val="center"/>
      </w:pPr>
      <w:r>
        <w:rPr>
          <w:rFonts w:ascii="Arial" w:cs="Arial" w:eastAsia="Arial" w:hAnsi="Arial"/>
          <w:color w:val="444444"/>
          <w:sz w:val="26"/>
          <w:szCs w:val="26"/>
        </w:rPr>
        <w:t xml:space="preserve">Análisis de Similitud entre Documentos</w:t>
      </w:r>
    </w:p>
    <w:p>
      <w:pPr>
        <w:pBdr>
          <w:bottom w:val="single" w:color="2E75B6" w:sz="6" w:space="1"/>
        </w:pBdr>
        <w:spacing w:after="400" w:before="200"/>
        <w:jc w:val="center"/>
      </w:pPr>
    </w:p>
    <w:p>
      <w:pPr>
        <w:spacing w:after="80" w:before="400"/>
        <w:jc w:val="center"/>
      </w:pPr>
      <w:r>
        <w:rPr>
          <w:rFonts w:ascii="Arial" w:cs="Arial" w:eastAsia="Arial" w:hAnsi="Arial"/>
          <w:color w:val="555555"/>
          <w:sz w:val="22"/>
          <w:szCs w:val="22"/>
        </w:rPr>
        <w:t xml:space="preserve">Lenguaje: Python 3</w:t>
      </w:r>
    </w:p>
    <w:p>
      <w:pPr>
        <w:spacing w:after="80" w:before="0"/>
        <w:jc w:val="center"/>
      </w:pPr>
      <w:r>
        <w:rPr>
          <w:rFonts w:ascii="Arial" w:cs="Arial" w:eastAsia="Arial" w:hAnsi="Arial"/>
          <w:color w:val="555555"/>
          <w:sz w:val="22"/>
          <w:szCs w:val="22"/>
        </w:rPr>
        <w:t xml:space="preserve">Fecha: Junio 2026</w:t>
      </w:r>
    </w:p>
    <w:p>
      <w:pPr>
        <w:pageBreakBefore/>
        <w:spacing w:after="0" w:before="1800"/>
      </w:pPr>
    </w:p>
    <w:p>
      <w:pPr>
        <w:pStyle w:val="Heading1"/>
        <w:spacing w:after="120" w:before="300"/>
      </w:pPr>
      <w:r>
        <w:rPr>
          <w:rFonts w:ascii="Arial" w:cs="Arial" w:eastAsia="Arial" w:hAnsi="Arial"/>
          <w:b/>
          <w:bCs/>
          <w:color w:val="2E75B6"/>
          <w:sz w:val="30"/>
          <w:szCs w:val="30"/>
        </w:rPr>
        <w:t xml:space="preserve">1. Descripción General</w:t>
      </w:r>
    </w:p>
    <w:p>
      <w:pPr>
        <w:spacing w:after="80" w:before="80"/>
      </w:pPr>
      <w:r>
        <w:rPr>
          <w:rFonts w:ascii="Arial" w:cs="Arial" w:eastAsia="Arial" w:hAnsi="Arial"/>
          <w:sz w:val="22"/>
          <w:szCs w:val="22"/>
        </w:rPr>
        <w:t xml:space="preserve">Este programa implementa un Modelo de Espacio Vectorial (VSM, por sus siglas en inglés) aplicado a un conjunto de documentos en español sobre la temática de animales. El objetivo principal es representar los documentos como vectores numéricos y calcular su similitud semántica mediante la métrica de similitud del coseno.</w:t>
      </w:r>
    </w:p>
    <w:p>
      <w:pPr>
        <w:spacing w:after="80" w:before="80"/>
      </w:pPr>
      <w:r>
        <w:rPr>
          <w:rFonts w:ascii="Arial" w:cs="Arial" w:eastAsia="Arial" w:hAnsi="Arial"/>
          <w:sz w:val="22"/>
          <w:szCs w:val="22"/>
        </w:rPr>
        <w:t xml:space="preserve">El programa realiza las siguientes etapas de forma secuencial:</w:t>
      </w:r>
    </w:p>
    <w:p>
      <w:pPr>
        <w:pStyle w:val="ListParagraph"/>
        <w:numPr>
          <w:ilvl w:val="0"/>
          <w:numId w:val="2"/>
        </w:numPr>
        <w:spacing w:after="40" w:before="40"/>
      </w:pPr>
      <w:r>
        <w:rPr>
          <w:rFonts w:ascii="Arial" w:cs="Arial" w:eastAsia="Arial" w:hAnsi="Arial"/>
          <w:sz w:val="22"/>
          <w:szCs w:val="22"/>
        </w:rPr>
        <w:t xml:space="preserve">Carga y definición de un corpus de documentos de texto.</w:t>
      </w:r>
    </w:p>
    <w:p>
      <w:pPr>
        <w:pStyle w:val="ListParagraph"/>
        <w:numPr>
          <w:ilvl w:val="0"/>
          <w:numId w:val="2"/>
        </w:numPr>
        <w:spacing w:after="40" w:before="40"/>
      </w:pPr>
      <w:r>
        <w:rPr>
          <w:rFonts w:ascii="Arial" w:cs="Arial" w:eastAsia="Arial" w:hAnsi="Arial"/>
          <w:sz w:val="22"/>
          <w:szCs w:val="22"/>
        </w:rPr>
        <w:t xml:space="preserve">Vectorización de los documentos mediante la técnica TF-IDF.</w:t>
      </w:r>
    </w:p>
    <w:p>
      <w:pPr>
        <w:pStyle w:val="ListParagraph"/>
        <w:numPr>
          <w:ilvl w:val="0"/>
          <w:numId w:val="2"/>
        </w:numPr>
        <w:spacing w:after="40" w:before="40"/>
      </w:pPr>
      <w:r>
        <w:rPr>
          <w:rFonts w:ascii="Arial" w:cs="Arial" w:eastAsia="Arial" w:hAnsi="Arial"/>
          <w:sz w:val="22"/>
          <w:szCs w:val="22"/>
        </w:rPr>
        <w:t xml:space="preserve">Cálculo de la matriz de similitud del coseno entre todos los pares de documentos.</w:t>
      </w:r>
    </w:p>
    <w:p>
      <w:pPr>
        <w:pStyle w:val="ListParagraph"/>
        <w:numPr>
          <w:ilvl w:val="0"/>
          <w:numId w:val="2"/>
        </w:numPr>
        <w:spacing w:after="40" w:before="40"/>
      </w:pPr>
      <w:r>
        <w:rPr>
          <w:rFonts w:ascii="Arial" w:cs="Arial" w:eastAsia="Arial" w:hAnsi="Arial"/>
          <w:sz w:val="22"/>
          <w:szCs w:val="22"/>
        </w:rPr>
        <w:t xml:space="preserve">Visualización de la matriz de similitud mediante un mapa de calor (heatmap).</w:t>
      </w:r>
    </w:p>
    <w:p>
      <w:pPr>
        <w:pBdr>
          <w:bottom w:val="single" w:color="2E75B6" w:sz="4" w:space="1"/>
        </w:pBdr>
        <w:spacing w:after="200" w:before="200"/>
      </w:pPr>
    </w:p>
    <w:p>
      <w:pPr>
        <w:pStyle w:val="Heading1"/>
        <w:spacing w:after="120" w:before="300"/>
      </w:pPr>
      <w:r>
        <w:rPr>
          <w:rFonts w:ascii="Arial" w:cs="Arial" w:eastAsia="Arial" w:hAnsi="Arial"/>
          <w:b/>
          <w:bCs/>
          <w:color w:val="2E75B6"/>
          <w:sz w:val="30"/>
          <w:szCs w:val="30"/>
        </w:rPr>
        <w:t xml:space="preserve">2. Librerías Utilizadas</w:t>
      </w:r>
    </w:p>
    <w:p>
      <w:pPr>
        <w:spacing w:after="80" w:before="80"/>
      </w:pPr>
      <w:r>
        <w:rPr>
          <w:rFonts w:ascii="Arial" w:cs="Arial" w:eastAsia="Arial" w:hAnsi="Arial"/>
          <w:sz w:val="22"/>
          <w:szCs w:val="22"/>
        </w:rPr>
        <w:t xml:space="preserve">El programa hace uso de las siguientes librerías del ecosistema científico de Python:</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Librería</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Módulo Importado</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Propósito</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NumPy</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numpy</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Soporte para operaciones matriciales y numéricas.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Seaborn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seaborn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Generación del mapa de calor (heatmap).</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Matplotlib</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matplotlib.pyplot</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Renderizado y configuración del gráfico.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TfidfVectorizer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Vectorización TF-IDF del corpus de texto.</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cosine_similarity</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Cálculo de similitud del coseno entre vectores.</w:t>
            </w:r>
          </w:p>
        </w:tc>
      </w:tr>
    </w:tbl>
    <w:p>
      <w:pPr>
        <w:pBdr>
          <w:bottom w:val="single" w:color="2E75B6" w:sz="4" w:space="1"/>
        </w:pBdr>
        <w:spacing w:after="200" w:before="200"/>
      </w:pPr>
    </w:p>
    <w:p>
      <w:pPr>
        <w:pStyle w:val="Heading1"/>
        <w:spacing w:after="120" w:before="300"/>
      </w:pPr>
      <w:r>
        <w:rPr>
          <w:rFonts w:ascii="Arial" w:cs="Arial" w:eastAsia="Arial" w:hAnsi="Arial"/>
          <w:b/>
          <w:bCs/>
          <w:color w:val="2E75B6"/>
          <w:sz w:val="30"/>
          <w:szCs w:val="30"/>
        </w:rPr>
        <w:t xml:space="preserve">3. Corpus de Documentos</w:t>
      </w:r>
    </w:p>
    <w:p>
      <w:pPr>
        <w:spacing w:after="80" w:before="80"/>
      </w:pPr>
      <w:r>
        <w:rPr>
          <w:rFonts w:ascii="Arial" w:cs="Arial" w:eastAsia="Arial" w:hAnsi="Arial"/>
          <w:sz w:val="22"/>
          <w:szCs w:val="22"/>
        </w:rPr>
        <w:t xml:space="preserve">El corpus de prueba está compuesto por tres documentos cortos en español, almacenados en un diccionario de Python:</w:t>
      </w:r>
    </w:p>
    <w:p>
      <w:pPr>
        <w:spacing w:after="40" w:before="120"/>
      </w:pPr>
    </w:p>
    <w:p>
      <w:pPr>
        <w:spacing w:after="20" w:before="20"/>
        <w:ind w:left="720"/>
      </w:pPr>
      <w:r>
        <w:rPr>
          <w:rFonts w:ascii="Courier New" w:cs="Courier New" w:eastAsia="Courier New" w:hAnsi="Courier New"/>
          <w:color w:val="1A1A1A"/>
          <w:sz w:val="18"/>
          <w:szCs w:val="18"/>
        </w:rPr>
        <w:t xml:space="preserve">documents = {</w:t>
      </w:r>
    </w:p>
    <w:p>
      <w:pPr>
        <w:spacing w:after="20" w:before="20"/>
        <w:ind w:left="720"/>
      </w:pPr>
      <w:r>
        <w:rPr>
          <w:rFonts w:ascii="Courier New" w:cs="Courier New" w:eastAsia="Courier New" w:hAnsi="Courier New"/>
          <w:color w:val="1A1A1A"/>
          <w:sz w:val="18"/>
          <w:szCs w:val="18"/>
        </w:rPr>
        <w:t xml:space="preserve">    "doc1": "El veloz zorro marrón salta sobre el perro perezoso.",</w:t>
      </w:r>
    </w:p>
    <w:p>
      <w:pPr>
        <w:spacing w:after="20" w:before="20"/>
        <w:ind w:left="720"/>
      </w:pPr>
      <w:r>
        <w:rPr>
          <w:rFonts w:ascii="Courier New" w:cs="Courier New" w:eastAsia="Courier New" w:hAnsi="Courier New"/>
          <w:color w:val="1A1A1A"/>
          <w:sz w:val="18"/>
          <w:szCs w:val="18"/>
        </w:rPr>
        <w:t xml:space="preserve">    "doc2": "Un perro marrón persiguió al zorro.",</w:t>
      </w:r>
    </w:p>
    <w:p>
      <w:pPr>
        <w:spacing w:after="20" w:before="20"/>
        <w:ind w:left="720"/>
      </w:pPr>
      <w:r>
        <w:rPr>
          <w:rFonts w:ascii="Courier New" w:cs="Courier New" w:eastAsia="Courier New" w:hAnsi="Courier New"/>
          <w:color w:val="1A1A1A"/>
          <w:sz w:val="18"/>
          <w:szCs w:val="18"/>
        </w:rPr>
        <w:t xml:space="preserve">    "doc3": "El perro es perezoso."</w:t>
      </w:r>
    </w:p>
    <w:p>
      <w:pPr>
        <w:spacing w:after="20" w:before="20"/>
        <w:ind w:left="720"/>
      </w:pPr>
      <w:r>
        <w:rPr>
          <w:rFonts w:ascii="Courier New" w:cs="Courier New" w:eastAsia="Courier New" w:hAnsi="Courier New"/>
          <w:color w:val="1A1A1A"/>
          <w:sz w:val="18"/>
          <w:szCs w:val="18"/>
        </w:rPr>
        <w:t xml:space="preserve">}</w:t>
      </w:r>
    </w:p>
    <w:p>
      <w:pPr>
        <w:spacing w:after="80" w:before="40"/>
      </w:pPr>
    </w:p>
    <w:p>
      <w:pPr>
        <w:spacing w:after="80" w:before="80"/>
      </w:pPr>
      <w:r>
        <w:rPr>
          <w:rFonts w:ascii="Arial" w:cs="Arial" w:eastAsia="Arial" w:hAnsi="Arial"/>
          <w:sz w:val="22"/>
          <w:szCs w:val="22"/>
        </w:rPr>
        <w:t xml:space="preserve">Cada documento comparte términos en distinta proporción, lo que genera una variabilidad de similitud medible. El documento doc1 es el más extenso y completo, mientras que doc3 es el más breve y directo.</w:t>
      </w:r>
    </w:p>
    <w:p>
      <w:pPr>
        <w:pBdr>
          <w:bottom w:val="single" w:color="2E75B6" w:sz="4" w:space="1"/>
        </w:pBdr>
        <w:spacing w:after="200" w:before="200"/>
      </w:pPr>
    </w:p>
    <w:p>
      <w:pPr>
        <w:pStyle w:val="Heading1"/>
        <w:spacing w:after="120" w:before="300"/>
      </w:pPr>
      <w:r>
        <w:rPr>
          <w:rFonts w:ascii="Arial" w:cs="Arial" w:eastAsia="Arial" w:hAnsi="Arial"/>
          <w:b/>
          <w:bCs/>
          <w:color w:val="2E75B6"/>
          <w:sz w:val="30"/>
          <w:szCs w:val="30"/>
        </w:rPr>
        <w:t xml:space="preserve">4. Vectorización TF-IDF</w:t>
      </w:r>
    </w:p>
    <w:p>
      <w:pPr>
        <w:pStyle w:val="Heading2"/>
        <w:spacing w:after="80" w:before="200"/>
      </w:pPr>
      <w:r>
        <w:rPr>
          <w:rFonts w:ascii="Arial" w:cs="Arial" w:eastAsia="Arial" w:hAnsi="Arial"/>
          <w:b/>
          <w:bCs/>
          <w:color w:val="1F4E79"/>
          <w:sz w:val="26"/>
          <w:szCs w:val="26"/>
        </w:rPr>
        <w:t xml:space="preserve">4.1 Concepto</w:t>
      </w:r>
    </w:p>
    <w:p>
      <w:pPr>
        <w:spacing w:after="80" w:before="80"/>
      </w:pPr>
      <w:r>
        <w:rPr>
          <w:rFonts w:ascii="Arial" w:cs="Arial" w:eastAsia="Arial" w:hAnsi="Arial"/>
          <w:sz w:val="22"/>
          <w:szCs w:val="22"/>
        </w:rPr>
        <w:t xml:space="preserve">TF-IDF (Term Frequency – Inverse Document Frequency) es una técnica de recuperación de información que pondera la importancia de cada término dentro de un documento en relación al corpus completo:</w:t>
      </w:r>
    </w:p>
    <w:p>
      <w:pPr>
        <w:pStyle w:val="ListParagraph"/>
        <w:numPr>
          <w:ilvl w:val="0"/>
          <w:numId w:val="2"/>
        </w:numPr>
        <w:spacing w:after="40" w:before="40"/>
      </w:pPr>
      <w:r>
        <w:rPr>
          <w:rFonts w:ascii="Arial" w:cs="Arial" w:eastAsia="Arial" w:hAnsi="Arial"/>
          <w:sz w:val="22"/>
          <w:szCs w:val="22"/>
        </w:rPr>
        <w:t xml:space="preserve">TF (Frecuencia de Término): mide cuántas veces aparece un término en un documento específico.</w:t>
      </w:r>
    </w:p>
    <w:p>
      <w:pPr>
        <w:pStyle w:val="ListParagraph"/>
        <w:numPr>
          <w:ilvl w:val="0"/>
          <w:numId w:val="2"/>
        </w:numPr>
        <w:spacing w:after="40" w:before="40"/>
      </w:pPr>
      <w:r>
        <w:rPr>
          <w:rFonts w:ascii="Arial" w:cs="Arial" w:eastAsia="Arial" w:hAnsi="Arial"/>
          <w:sz w:val="22"/>
          <w:szCs w:val="22"/>
        </w:rPr>
        <w:t xml:space="preserve">IDF (Frecuencia Inversa de Documento): penaliza los términos que aparecen en muchos documentos (palabras comunes), dando mayor peso a los términos discriminativos.</w:t>
      </w:r>
    </w:p>
    <w:p>
      <w:pPr>
        <w:spacing w:after="80" w:before="80"/>
      </w:pPr>
      <w:r>
        <w:rPr>
          <w:rFonts w:ascii="Arial" w:cs="Arial" w:eastAsia="Arial" w:hAnsi="Arial"/>
          <w:sz w:val="22"/>
          <w:szCs w:val="22"/>
        </w:rPr>
        <w:t xml:space="preserve">El producto TF × IDF genera un valor numérico por cada término en cada documento, formando un vector de representación en un espacio de alta dimensión.</w:t>
      </w:r>
    </w:p>
    <w:p>
      <w:pPr>
        <w:pStyle w:val="Heading2"/>
        <w:spacing w:after="80" w:before="200"/>
      </w:pPr>
      <w:r>
        <w:rPr>
          <w:rFonts w:ascii="Arial" w:cs="Arial" w:eastAsia="Arial" w:hAnsi="Arial"/>
          <w:b/>
          <w:bCs/>
          <w:color w:val="1F4E79"/>
          <w:sz w:val="26"/>
          <w:szCs w:val="26"/>
        </w:rPr>
        <w:t xml:space="preserve">4.2 Implementación</w:t>
      </w:r>
    </w:p>
    <w:p>
      <w:pPr>
        <w:spacing w:after="20" w:before="20"/>
        <w:ind w:left="720"/>
      </w:pPr>
      <w:r>
        <w:rPr>
          <w:rFonts w:ascii="Courier New" w:cs="Courier New" w:eastAsia="Courier New" w:hAnsi="Courier New"/>
          <w:color w:val="1A1A1A"/>
          <w:sz w:val="18"/>
          <w:szCs w:val="18"/>
        </w:rPr>
        <w:t xml:space="preserve">vectorizer = TfidfVectorizer()</w:t>
      </w:r>
    </w:p>
    <w:p>
      <w:pPr>
        <w:spacing w:after="20" w:before="20"/>
        <w:ind w:left="720"/>
      </w:pPr>
      <w:r>
        <w:rPr>
          <w:rFonts w:ascii="Courier New" w:cs="Courier New" w:eastAsia="Courier New" w:hAnsi="Courier New"/>
          <w:color w:val="1A1A1A"/>
          <w:sz w:val="18"/>
          <w:szCs w:val="18"/>
        </w:rPr>
        <w:t xml:space="preserve">tfidf_matrix = vectorizer.fit_transform(documents.values())</w:t>
      </w:r>
    </w:p>
    <w:p>
      <w:pPr>
        <w:spacing w:after="80" w:before="80"/>
      </w:pPr>
      <w:r>
        <w:rPr>
          <w:rFonts w:ascii="Arial" w:cs="Arial" w:eastAsia="Arial" w:hAnsi="Arial"/>
          <w:sz w:val="22"/>
          <w:szCs w:val="22"/>
        </w:rPr>
        <w:t xml:space="preserve">El método fit_transform ajusta el vocabulario al corpus y transforma los documentos en una matriz dispersa, donde cada fila representa un documento y cada columna un término del vocabulario.</w:t>
      </w:r>
    </w:p>
    <w:p>
      <w:pPr>
        <w:pBdr>
          <w:bottom w:val="single" w:color="2E75B6" w:sz="4" w:space="1"/>
        </w:pBdr>
        <w:spacing w:after="200" w:before="200"/>
      </w:pPr>
    </w:p>
    <w:p>
      <w:pPr>
        <w:pStyle w:val="Heading1"/>
        <w:spacing w:after="120" w:before="300"/>
      </w:pPr>
      <w:r>
        <w:rPr>
          <w:rFonts w:ascii="Arial" w:cs="Arial" w:eastAsia="Arial" w:hAnsi="Arial"/>
          <w:b/>
          <w:bCs/>
          <w:color w:val="2E75B6"/>
          <w:sz w:val="30"/>
          <w:szCs w:val="30"/>
        </w:rPr>
        <w:t xml:space="preserve">5. Similitud del Coseno</w:t>
      </w:r>
    </w:p>
    <w:p>
      <w:pPr>
        <w:pStyle w:val="Heading2"/>
        <w:spacing w:after="80" w:before="200"/>
      </w:pPr>
      <w:r>
        <w:rPr>
          <w:rFonts w:ascii="Arial" w:cs="Arial" w:eastAsia="Arial" w:hAnsi="Arial"/>
          <w:b/>
          <w:bCs/>
          <w:color w:val="1F4E79"/>
          <w:sz w:val="26"/>
          <w:szCs w:val="26"/>
        </w:rPr>
        <w:t xml:space="preserve">5.1 Concepto</w:t>
      </w:r>
    </w:p>
    <w:p>
      <w:pPr>
        <w:spacing w:after="80" w:before="80"/>
      </w:pPr>
      <w:r>
        <w:rPr>
          <w:rFonts w:ascii="Arial" w:cs="Arial" w:eastAsia="Arial" w:hAnsi="Arial"/>
          <w:sz w:val="22"/>
          <w:szCs w:val="22"/>
        </w:rPr>
        <w:t xml:space="preserve">La similitud del coseno es una métrica que mide el ángulo entre dos vectores en el espacio vectorial. Su valor oscila entre 0 (sin similitud) y 1 (documentos idénticos). La fórmula es:</w:t>
      </w:r>
    </w:p>
    <w:p>
      <w:pPr>
        <w:spacing w:after="120" w:before="120"/>
        <w:jc w:val="center"/>
      </w:pPr>
      <w:r>
        <w:rPr>
          <w:rFonts w:ascii="Courier New" w:cs="Courier New" w:eastAsia="Courier New" w:hAnsi="Courier New"/>
          <w:b/>
          <w:bCs/>
          <w:color w:val="1F4E79"/>
          <w:sz w:val="24"/>
          <w:szCs w:val="24"/>
        </w:rPr>
        <w:t xml:space="preserve">similitud(A, B) = (A · B) / (‖A‖ × ‖B‖)</w:t>
      </w:r>
    </w:p>
    <w:p>
      <w:pPr>
        <w:spacing w:after="80" w:before="80"/>
      </w:pPr>
      <w:r>
        <w:rPr>
          <w:rFonts w:ascii="Arial" w:cs="Arial" w:eastAsia="Arial" w:hAnsi="Arial"/>
          <w:sz w:val="22"/>
          <w:szCs w:val="22"/>
        </w:rPr>
        <w:t xml:space="preserve">Esta métrica es independiente de la longitud de los documentos, lo que la hace especialmente adecuada para comparar textos de distinto tamaño.</w:t>
      </w:r>
    </w:p>
    <w:p>
      <w:pPr>
        <w:pStyle w:val="Heading2"/>
        <w:spacing w:after="80" w:before="200"/>
      </w:pPr>
      <w:r>
        <w:rPr>
          <w:rFonts w:ascii="Arial" w:cs="Arial" w:eastAsia="Arial" w:hAnsi="Arial"/>
          <w:b/>
          <w:bCs/>
          <w:color w:val="1F4E79"/>
          <w:sz w:val="26"/>
          <w:szCs w:val="26"/>
        </w:rPr>
        <w:t xml:space="preserve">5.2 Implementación</w:t>
      </w:r>
    </w:p>
    <w:p>
      <w:pPr>
        <w:spacing w:after="20" w:before="20"/>
        <w:ind w:left="720"/>
      </w:pPr>
      <w:r>
        <w:rPr>
          <w:rFonts w:ascii="Courier New" w:cs="Courier New" w:eastAsia="Courier New" w:hAnsi="Courier New"/>
          <w:color w:val="1A1A1A"/>
          <w:sz w:val="18"/>
          <w:szCs w:val="18"/>
        </w:rPr>
        <w:t xml:space="preserve">cosine_sim = cosine_similarity(tfidf_matrix, tfidf_matrix)</w:t>
      </w:r>
    </w:p>
    <w:p>
      <w:pPr>
        <w:spacing w:after="80" w:before="80"/>
      </w:pPr>
      <w:r>
        <w:rPr>
          <w:rFonts w:ascii="Arial" w:cs="Arial" w:eastAsia="Arial" w:hAnsi="Arial"/>
          <w:sz w:val="22"/>
          <w:szCs w:val="22"/>
        </w:rPr>
        <w:t xml:space="preserve">La función retorna una matriz cuadrada de 3×3, donde el valor en la posición [i][j] representa la similitud entre el documento i y el documento j.</w:t>
      </w:r>
    </w:p>
    <w:p>
      <w:pPr>
        <w:pStyle w:val="Heading2"/>
        <w:spacing w:after="80" w:before="200"/>
      </w:pPr>
      <w:r>
        <w:rPr>
          <w:rFonts w:ascii="Arial" w:cs="Arial" w:eastAsia="Arial" w:hAnsi="Arial"/>
          <w:b/>
          <w:bCs/>
          <w:color w:val="1F4E79"/>
          <w:sz w:val="26"/>
          <w:szCs w:val="26"/>
        </w:rPr>
        <w:t xml:space="preserve">5.3 Resultados Esperados</w:t>
      </w:r>
    </w:p>
    <w:p>
      <w:pPr>
        <w:spacing w:after="80" w:before="80"/>
      </w:pPr>
      <w:r>
        <w:rPr>
          <w:rFonts w:ascii="Arial" w:cs="Arial" w:eastAsia="Arial" w:hAnsi="Arial"/>
          <w:sz w:val="22"/>
          <w:szCs w:val="22"/>
        </w:rPr>
        <w:t xml:space="preserve">Dado el contenido del corpus, se esperan los siguientes resultados aproximados:</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 de Documentos</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Similitud Esperada</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Justificación</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doc1 vs doc1</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1.00</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Todo documento es idéntico a sí mismo.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doc1 vs doc2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 (~0.5–0.7)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Comparten términos: perro, zorro, marrón.</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doc1 vs doc3</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Media (~0.3–0.5)</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Comparten términos: perro, perezoso.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doc2 vs doc3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Baja–media (~0.2–0.4)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comparten el término: perro.</w:t>
            </w:r>
          </w:p>
        </w:tc>
      </w:tr>
    </w:tbl>
    <w:p>
      <w:pPr>
        <w:pBdr>
          <w:bottom w:val="single" w:color="2E75B6" w:sz="4" w:space="1"/>
        </w:pBdr>
        <w:spacing w:after="200" w:before="200"/>
      </w:pPr>
    </w:p>
    <w:p>
      <w:pPr>
        <w:pStyle w:val="Heading1"/>
        <w:spacing w:after="120" w:before="300"/>
      </w:pPr>
      <w:r>
        <w:rPr>
          <w:rFonts w:ascii="Arial" w:cs="Arial" w:eastAsia="Arial" w:hAnsi="Arial"/>
          <w:b/>
          <w:bCs/>
          <w:color w:val="2E75B6"/>
          <w:sz w:val="30"/>
          <w:szCs w:val="30"/>
        </w:rPr>
        <w:t xml:space="preserve">6. Visualización: Mapa de Calor</w:t>
      </w:r>
    </w:p>
    <w:p>
      <w:pPr>
        <w:spacing w:after="80" w:before="80"/>
      </w:pPr>
      <w:r>
        <w:rPr>
          <w:rFonts w:ascii="Arial" w:cs="Arial" w:eastAsia="Arial" w:hAnsi="Arial"/>
          <w:sz w:val="22"/>
          <w:szCs w:val="22"/>
        </w:rPr>
        <w:t xml:space="preserve">La matriz de similitud se visualiza mediante un mapa de calor (heatmap) generado con la librería Seaborn. Los valores anotados en cada celda permiten identificar de forma rápida los pares de documentos más y menos similares.</w:t>
      </w:r>
    </w:p>
    <w:p>
      <w:pPr>
        <w:spacing w:after="40" w:before="120"/>
      </w:pPr>
    </w:p>
    <w:p>
      <w:pPr>
        <w:spacing w:after="20" w:before="20"/>
        <w:ind w:left="720"/>
      </w:pPr>
      <w:r>
        <w:rPr>
          <w:rFonts w:ascii="Courier New" w:cs="Courier New" w:eastAsia="Courier New" w:hAnsi="Courier New"/>
          <w:color w:val="1A1A1A"/>
          <w:sz w:val="18"/>
          <w:szCs w:val="18"/>
        </w:rPr>
        <w:t xml:space="preserve">plt.figure(figsize=(6, 5))</w:t>
      </w:r>
    </w:p>
    <w:p>
      <w:pPr>
        <w:spacing w:after="20" w:before="20"/>
        <w:ind w:left="720"/>
      </w:pPr>
      <w:r>
        <w:rPr>
          <w:rFonts w:ascii="Courier New" w:cs="Courier New" w:eastAsia="Courier New" w:hAnsi="Courier New"/>
          <w:color w:val="1A1A1A"/>
          <w:sz w:val="18"/>
          <w:szCs w:val="18"/>
        </w:rPr>
        <w:t xml:space="preserve">sns.heatmap(cosine_sim, annot=True, fmt=".2f",</w:t>
      </w:r>
    </w:p>
    <w:p>
      <w:pPr>
        <w:spacing w:after="20" w:before="20"/>
        <w:ind w:left="720"/>
      </w:pPr>
      <w:r>
        <w:rPr>
          <w:rFonts w:ascii="Courier New" w:cs="Courier New" w:eastAsia="Courier New" w:hAnsi="Courier New"/>
          <w:color w:val="1A1A1A"/>
          <w:sz w:val="18"/>
          <w:szCs w:val="18"/>
        </w:rPr>
        <w:t xml:space="preserve">            cmap="Blues", xticklabels=labels, yticklabels=labels)</w:t>
      </w:r>
    </w:p>
    <w:p>
      <w:pPr>
        <w:spacing w:after="20" w:before="20"/>
        <w:ind w:left="720"/>
      </w:pPr>
      <w:r>
        <w:rPr>
          <w:rFonts w:ascii="Courier New" w:cs="Courier New" w:eastAsia="Courier New" w:hAnsi="Courier New"/>
          <w:color w:val="1A1A1A"/>
          <w:sz w:val="18"/>
          <w:szCs w:val="18"/>
        </w:rPr>
        <w:t xml:space="preserve">plt.title("Matriz de Similitud del Coseno")</w:t>
      </w:r>
    </w:p>
    <w:p>
      <w:pPr>
        <w:spacing w:after="20" w:before="20"/>
        <w:ind w:left="720"/>
      </w:pPr>
      <w:r>
        <w:rPr>
          <w:rFonts w:ascii="Courier New" w:cs="Courier New" w:eastAsia="Courier New" w:hAnsi="Courier New"/>
          <w:color w:val="1A1A1A"/>
          <w:sz w:val="18"/>
          <w:szCs w:val="18"/>
        </w:rPr>
        <w:t xml:space="preserve">plt.show()</w:t>
      </w:r>
    </w:p>
    <w:p>
      <w:pPr>
        <w:spacing w:after="80" w:before="80"/>
      </w:pPr>
    </w:p>
    <w:p>
      <w:pPr>
        <w:spacing w:after="80" w:before="80"/>
      </w:pPr>
      <w:r>
        <w:rPr>
          <w:rFonts w:ascii="Arial" w:cs="Arial" w:eastAsia="Arial" w:hAnsi="Arial"/>
          <w:sz w:val="22"/>
          <w:szCs w:val="22"/>
        </w:rPr>
        <w:t xml:space="preserve">Parámetros clave del heatmap:</w:t>
      </w:r>
    </w:p>
    <w:p>
      <w:pPr>
        <w:pStyle w:val="ListParagraph"/>
        <w:numPr>
          <w:ilvl w:val="0"/>
          <w:numId w:val="2"/>
        </w:numPr>
        <w:spacing w:after="40" w:before="40"/>
      </w:pPr>
      <w:r>
        <w:rPr>
          <w:rFonts w:ascii="Arial" w:cs="Arial" w:eastAsia="Arial" w:hAnsi="Arial"/>
          <w:sz w:val="22"/>
          <w:szCs w:val="22"/>
        </w:rPr>
        <w:t xml:space="preserve">annot=True: muestra el valor numérico dentro de cada celda.</w:t>
      </w:r>
    </w:p>
    <w:p>
      <w:pPr>
        <w:pStyle w:val="ListParagraph"/>
        <w:numPr>
          <w:ilvl w:val="0"/>
          <w:numId w:val="2"/>
        </w:numPr>
        <w:spacing w:after="40" w:before="40"/>
      </w:pPr>
      <w:r>
        <w:rPr>
          <w:rFonts w:ascii="Arial" w:cs="Arial" w:eastAsia="Arial" w:hAnsi="Arial"/>
          <w:sz w:val="22"/>
          <w:szCs w:val="22"/>
        </w:rPr>
        <w:t xml:space="preserve">fmt=".2f": formatea los valores con dos decimales.</w:t>
      </w:r>
    </w:p>
    <w:p>
      <w:pPr>
        <w:pStyle w:val="ListParagraph"/>
        <w:numPr>
          <w:ilvl w:val="0"/>
          <w:numId w:val="2"/>
        </w:numPr>
        <w:spacing w:after="40" w:before="40"/>
      </w:pPr>
      <w:r>
        <w:rPr>
          <w:rFonts w:ascii="Arial" w:cs="Arial" w:eastAsia="Arial" w:hAnsi="Arial"/>
          <w:sz w:val="22"/>
          <w:szCs w:val="22"/>
        </w:rPr>
        <w:t xml:space="preserve">cmap="Blues": utiliza una escala de color azul, donde los tonos más oscuros indican mayor similitud.</w:t>
      </w:r>
    </w:p>
    <w:p>
      <w:pPr>
        <w:pBdr>
          <w:bottom w:val="single" w:color="2E75B6" w:sz="4" w:space="1"/>
        </w:pBdr>
        <w:spacing w:after="200" w:before="200"/>
      </w:pPr>
    </w:p>
    <w:p>
      <w:pPr>
        <w:pStyle w:val="Heading1"/>
        <w:spacing w:after="120" w:before="300"/>
      </w:pPr>
      <w:r>
        <w:rPr>
          <w:rFonts w:ascii="Arial" w:cs="Arial" w:eastAsia="Arial" w:hAnsi="Arial"/>
          <w:b/>
          <w:bCs/>
          <w:color w:val="2E75B6"/>
          <w:sz w:val="30"/>
          <w:szCs w:val="30"/>
        </w:rPr>
        <w:t xml:space="preserve">7. Flujo de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Definición del corpus</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Diccionario con 3 documentos en español.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Ajuste del vectorizador TF-IDF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Vocabulario y pesos IDF calculados.</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Transformación del corpus</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Matriz TF-IDF dispersa de forma (3, Nº términos).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Cálculo de similitud del coseno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Matriz cuadrada 3×3 con valores en [0, 1].</w:t>
            </w:r>
          </w:p>
        </w:tc>
      </w:tr>
      <w:tr>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Generación del heatmap</w:t>
            </w:r>
          </w:p>
        </w:tc>
        <w:tc>
          <w:tcPr>
            <w:tcW w:type="dxa" w:w="312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Gráfico visual de la matriz de similitud.</w:t>
            </w:r>
          </w:p>
        </w:tc>
      </w:tr>
    </w:tbl>
    <w:p>
      <w:pPr>
        <w:pBdr>
          <w:bottom w:val="single" w:color="2E75B6" w:sz="4" w:space="1"/>
        </w:pBdr>
        <w:spacing w:after="200" w:before="200"/>
      </w:pPr>
    </w:p>
    <w:p>
      <w:pPr>
        <w:pStyle w:val="Heading1"/>
        <w:spacing w:after="120" w:before="300"/>
      </w:pPr>
      <w:r>
        <w:rPr>
          <w:rFonts w:ascii="Arial" w:cs="Arial" w:eastAsia="Arial" w:hAnsi="Arial"/>
          <w:b/>
          <w:bCs/>
          <w:color w:val="2E75B6"/>
          <w:sz w:val="30"/>
          <w:szCs w:val="30"/>
        </w:rPr>
        <w:t xml:space="preserve">8. Posibles Mejoras y Extensiones</w:t>
      </w:r>
    </w:p>
    <w:p>
      <w:pPr>
        <w:pStyle w:val="ListParagraph"/>
        <w:numPr>
          <w:ilvl w:val="0"/>
          <w:numId w:val="2"/>
        </w:numPr>
        <w:spacing w:after="40" w:before="40"/>
      </w:pPr>
      <w:r>
        <w:rPr>
          <w:rFonts w:ascii="Arial" w:cs="Arial" w:eastAsia="Arial" w:hAnsi="Arial"/>
          <w:sz w:val="22"/>
          <w:szCs w:val="22"/>
        </w:rPr>
        <w:t xml:space="preserve">Incorporar eliminación de stopwords en español mediante el parámetro stop_words de TfidfVectorizer.</w:t>
      </w:r>
    </w:p>
    <w:p>
      <w:pPr>
        <w:pStyle w:val="ListParagraph"/>
        <w:numPr>
          <w:ilvl w:val="0"/>
          <w:numId w:val="2"/>
        </w:numPr>
        <w:spacing w:after="40" w:before="40"/>
      </w:pPr>
      <w:r>
        <w:rPr>
          <w:rFonts w:ascii="Arial" w:cs="Arial" w:eastAsia="Arial" w:hAnsi="Arial"/>
          <w:sz w:val="22"/>
          <w:szCs w:val="22"/>
        </w:rPr>
        <w:t xml:space="preserve">Aplicar stemming o lematización con librerías como spaCy o NLTK para normalizar las formas verbales.</w:t>
      </w:r>
    </w:p>
    <w:p>
      <w:pPr>
        <w:pStyle w:val="ListParagraph"/>
        <w:numPr>
          <w:ilvl w:val="0"/>
          <w:numId w:val="2"/>
        </w:numPr>
        <w:spacing w:after="40" w:before="40"/>
      </w:pPr>
      <w:r>
        <w:rPr>
          <w:rFonts w:ascii="Arial" w:cs="Arial" w:eastAsia="Arial" w:hAnsi="Arial"/>
          <w:sz w:val="22"/>
          <w:szCs w:val="22"/>
        </w:rPr>
        <w:t xml:space="preserve">Escalar el corpus con documentos más largos y variados para evaluar la robustez del modelo.</w:t>
      </w:r>
    </w:p>
    <w:p>
      <w:pPr>
        <w:pStyle w:val="ListParagraph"/>
        <w:numPr>
          <w:ilvl w:val="0"/>
          <w:numId w:val="2"/>
        </w:numPr>
        <w:spacing w:after="40" w:before="40"/>
      </w:pPr>
      <w:r>
        <w:rPr>
          <w:rFonts w:ascii="Arial" w:cs="Arial" w:eastAsia="Arial" w:hAnsi="Arial"/>
          <w:sz w:val="22"/>
          <w:szCs w:val="22"/>
        </w:rPr>
        <w:t xml:space="preserve">Implementar una función de búsqueda que, dado un texto de consulta, devuelva los documentos más similares del corpus.</w:t>
      </w:r>
    </w:p>
    <w:p>
      <w:pPr>
        <w:pStyle w:val="ListParagraph"/>
        <w:numPr>
          <w:ilvl w:val="0"/>
          <w:numId w:val="2"/>
        </w:numPr>
        <w:spacing w:after="40" w:before="40"/>
      </w:pPr>
      <w:r>
        <w:rPr>
          <w:rFonts w:ascii="Arial" w:cs="Arial" w:eastAsia="Arial" w:hAnsi="Arial"/>
          <w:sz w:val="22"/>
          <w:szCs w:val="22"/>
        </w:rPr>
        <w:t xml:space="preserve">Exportar la matriz de similitud a un archivo CSV para análisis externo.</w:t>
      </w:r>
    </w:p>
    <w:p>
      <w:pPr>
        <w:pBdr>
          <w:bottom w:val="single" w:color="2E75B6" w:sz="4" w:space="1"/>
        </w:pBdr>
        <w:spacing w:after="200" w:before="200"/>
      </w:pPr>
    </w:p>
    <w:p>
      <w:pPr>
        <w:pStyle w:val="Heading1"/>
        <w:spacing w:after="120" w:before="300"/>
      </w:pPr>
      <w:r>
        <w:rPr>
          <w:rFonts w:ascii="Arial" w:cs="Arial" w:eastAsia="Arial" w:hAnsi="Arial"/>
          <w:b/>
          <w:bCs/>
          <w:color w:val="2E75B6"/>
          <w:sz w:val="30"/>
          <w:szCs w:val="30"/>
        </w:rPr>
        <w:t xml:space="preserve">9. Conclusión</w:t>
      </w:r>
    </w:p>
    <w:p>
      <w:pPr>
        <w:spacing w:after="80" w:before="80"/>
      </w:pPr>
      <w:r>
        <w:rPr>
          <w:rFonts w:ascii="Arial" w:cs="Arial" w:eastAsia="Arial" w:hAnsi="Arial"/>
          <w:sz w:val="22"/>
          <w:szCs w:val="22"/>
        </w:rPr>
        <w:t xml:space="preserve">El programa implementa de manera clara y eficiente los fundamentos del Modelo de Espacio Vectorial para recuperación de información. La combinación de TF-IDF con la similitud del coseno constituye una base sólida y ampliamente utilizada en motores de búsqueda, sistemas de recomendación y procesamiento de lenguaje natural.</w:t>
      </w:r>
    </w:p>
    <w:p>
      <w:pPr>
        <w:spacing w:after="80" w:before="80"/>
      </w:pPr>
      <w:r>
        <w:rPr>
          <w:rFonts w:ascii="Arial" w:cs="Arial" w:eastAsia="Arial" w:hAnsi="Arial"/>
          <w:sz w:val="22"/>
          <w:szCs w:val="22"/>
        </w:rPr>
        <w:t xml:space="preserve">El código es conciso, bien estructurado y fácilmente extensible, lo que lo hace adecuado tanto para fines educativos como como punto de partida para sistemas más complejos.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Informe Técnico – Modelo Espacio Vectorial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E75B6"/>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2026-06-23T22:22:42.588Z</dcterms:created>
  <dcterms:modified xsi:type="dcterms:W3CDTF">2026-06-23T22:22:42.588Z</dcterms:modified>
</cp:coreProperties>
</file>

<file path=docProps/custom.xml><?xml version="1.0" encoding="utf-8"?>
<Properties xmlns="http://schemas.openxmlformats.org/officeDocument/2006/custom-properties" xmlns:vt="http://schemas.openxmlformats.org/officeDocument/2006/docPropsVTypes"/>
</file>