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473E0" w14:textId="4C2FA0C9" w:rsidR="00B57ED9" w:rsidRPr="00B57ED9" w:rsidRDefault="00B57ED9" w:rsidP="00B57ED9">
      <w:pPr>
        <w:rPr>
          <w:rFonts w:ascii="Times New Roman" w:hAnsi="Times New Roman" w:cs="Times New Roman"/>
          <w:sz w:val="28"/>
          <w:szCs w:val="28"/>
        </w:rPr>
      </w:pPr>
      <w:r w:rsidRPr="00B57ED9">
        <w:rPr>
          <w:rFonts w:ascii="Times New Roman" w:hAnsi="Times New Roman" w:cs="Times New Roman"/>
          <w:sz w:val="28"/>
          <w:szCs w:val="28"/>
        </w:rPr>
        <w:t>W</w:t>
      </w:r>
      <w:r w:rsidRPr="00B57ED9">
        <w:rPr>
          <w:rFonts w:ascii="Times New Roman" w:hAnsi="Times New Roman" w:cs="Times New Roman"/>
          <w:sz w:val="28"/>
          <w:szCs w:val="28"/>
        </w:rPr>
        <w:t>zorce projektowe, które należy zastosować w projekcie</w:t>
      </w:r>
      <w:r>
        <w:rPr>
          <w:rFonts w:ascii="Times New Roman" w:hAnsi="Times New Roman" w:cs="Times New Roman"/>
          <w:sz w:val="28"/>
          <w:szCs w:val="28"/>
        </w:rPr>
        <w:t xml:space="preserve"> gabinetu stomatologicznego:</w:t>
      </w:r>
    </w:p>
    <w:p w14:paraId="7233142D" w14:textId="0079E14A" w:rsidR="00B57ED9" w:rsidRPr="00B57ED9" w:rsidRDefault="00B57ED9" w:rsidP="00B57E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7ED9">
        <w:rPr>
          <w:rFonts w:ascii="Times New Roman" w:hAnsi="Times New Roman" w:cs="Times New Roman"/>
          <w:b/>
          <w:bCs/>
          <w:sz w:val="28"/>
          <w:szCs w:val="28"/>
        </w:rPr>
        <w:t>Fabryka (</w:t>
      </w:r>
      <w:proofErr w:type="spellStart"/>
      <w:r w:rsidRPr="00B57ED9">
        <w:rPr>
          <w:rFonts w:ascii="Times New Roman" w:hAnsi="Times New Roman" w:cs="Times New Roman"/>
          <w:b/>
          <w:bCs/>
          <w:sz w:val="28"/>
          <w:szCs w:val="28"/>
        </w:rPr>
        <w:t>Factory</w:t>
      </w:r>
      <w:proofErr w:type="spellEnd"/>
      <w:r w:rsidRPr="00B57ED9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413DDE5C" w14:textId="71D993DE" w:rsidR="00B57ED9" w:rsidRPr="00B57ED9" w:rsidRDefault="00B57ED9" w:rsidP="00B57ED9">
      <w:pPr>
        <w:jc w:val="both"/>
        <w:rPr>
          <w:rFonts w:ascii="Times New Roman" w:hAnsi="Times New Roman" w:cs="Times New Roman"/>
          <w:sz w:val="28"/>
          <w:szCs w:val="28"/>
        </w:rPr>
      </w:pPr>
      <w:r w:rsidRPr="00B57ED9">
        <w:rPr>
          <w:rFonts w:ascii="Times New Roman" w:hAnsi="Times New Roman" w:cs="Times New Roman"/>
          <w:sz w:val="28"/>
          <w:szCs w:val="28"/>
        </w:rPr>
        <w:t>Ułatwia tworzenie różnych rodzajów obiektów. Może być przydatn</w:t>
      </w:r>
      <w:r w:rsidRPr="00B57ED9">
        <w:rPr>
          <w:rFonts w:ascii="Times New Roman" w:hAnsi="Times New Roman" w:cs="Times New Roman"/>
          <w:sz w:val="28"/>
          <w:szCs w:val="28"/>
        </w:rPr>
        <w:t>a</w:t>
      </w:r>
      <w:r w:rsidRPr="00B57ED9">
        <w:rPr>
          <w:rFonts w:ascii="Times New Roman" w:hAnsi="Times New Roman" w:cs="Times New Roman"/>
          <w:sz w:val="28"/>
          <w:szCs w:val="28"/>
        </w:rPr>
        <w:t xml:space="preserve">, gdy na stronie gabinetu stomatologicznego mamy do czynienia z różnymi rodzajami usług, takimi jak wizyty kontrolne, leczenie, </w:t>
      </w:r>
      <w:proofErr w:type="spellStart"/>
      <w:r w:rsidRPr="00B57ED9">
        <w:rPr>
          <w:rFonts w:ascii="Times New Roman" w:hAnsi="Times New Roman" w:cs="Times New Roman"/>
          <w:sz w:val="28"/>
          <w:szCs w:val="28"/>
        </w:rPr>
        <w:t>itp</w:t>
      </w:r>
      <w:proofErr w:type="spellEnd"/>
      <w:r w:rsidRPr="00B57ED9">
        <w:rPr>
          <w:rFonts w:ascii="Times New Roman" w:hAnsi="Times New Roman" w:cs="Times New Roman"/>
          <w:sz w:val="28"/>
          <w:szCs w:val="28"/>
        </w:rPr>
        <w:t>, wzorzec fabryki może pomóc w zorganizowanym tworzeniu tych obiektów.</w:t>
      </w:r>
    </w:p>
    <w:p w14:paraId="3247B5CB" w14:textId="5991F67C" w:rsidR="00B57ED9" w:rsidRPr="00B57ED9" w:rsidRDefault="00B57ED9" w:rsidP="00B57E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7ED9">
        <w:rPr>
          <w:rFonts w:ascii="Times New Roman" w:hAnsi="Times New Roman" w:cs="Times New Roman"/>
          <w:b/>
          <w:bCs/>
          <w:sz w:val="28"/>
          <w:szCs w:val="28"/>
        </w:rPr>
        <w:t>Dekorator (</w:t>
      </w:r>
      <w:proofErr w:type="spellStart"/>
      <w:r w:rsidRPr="00B57ED9">
        <w:rPr>
          <w:rFonts w:ascii="Times New Roman" w:hAnsi="Times New Roman" w:cs="Times New Roman"/>
          <w:b/>
          <w:bCs/>
          <w:sz w:val="28"/>
          <w:szCs w:val="28"/>
        </w:rPr>
        <w:t>Decorator</w:t>
      </w:r>
      <w:proofErr w:type="spellEnd"/>
      <w:r w:rsidRPr="00B57ED9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08EE98B6" w14:textId="551DCB59" w:rsidR="00B57ED9" w:rsidRPr="00B57ED9" w:rsidRDefault="00B57ED9" w:rsidP="00B57ED9">
      <w:pPr>
        <w:jc w:val="both"/>
        <w:rPr>
          <w:rFonts w:ascii="Times New Roman" w:hAnsi="Times New Roman" w:cs="Times New Roman"/>
          <w:sz w:val="28"/>
          <w:szCs w:val="28"/>
        </w:rPr>
      </w:pPr>
      <w:r w:rsidRPr="00B57ED9">
        <w:rPr>
          <w:rFonts w:ascii="Times New Roman" w:hAnsi="Times New Roman" w:cs="Times New Roman"/>
          <w:sz w:val="28"/>
          <w:szCs w:val="28"/>
        </w:rPr>
        <w:t>Pozwala na dynamiczne dodawanie nowych funkcji lub właściwości do obiektów. Przydatn</w:t>
      </w:r>
      <w:r w:rsidRPr="00B57ED9">
        <w:rPr>
          <w:rFonts w:ascii="Times New Roman" w:hAnsi="Times New Roman" w:cs="Times New Roman"/>
          <w:sz w:val="28"/>
          <w:szCs w:val="28"/>
        </w:rPr>
        <w:t>y</w:t>
      </w:r>
      <w:r w:rsidRPr="00B57ED9">
        <w:rPr>
          <w:rFonts w:ascii="Times New Roman" w:hAnsi="Times New Roman" w:cs="Times New Roman"/>
          <w:sz w:val="28"/>
          <w:szCs w:val="28"/>
        </w:rPr>
        <w:t>, gdy chcemy rozbudowywać funkcjonalność strony, na przykład dodając nowe opcje umawiania wizyt online, przypominanie o wizytach, itp.</w:t>
      </w:r>
    </w:p>
    <w:p w14:paraId="56AF0E29" w14:textId="00BC4B49" w:rsidR="00B57ED9" w:rsidRPr="00B57ED9" w:rsidRDefault="00B57ED9" w:rsidP="00B57E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7ED9">
        <w:rPr>
          <w:rFonts w:ascii="Times New Roman" w:hAnsi="Times New Roman" w:cs="Times New Roman"/>
          <w:b/>
          <w:bCs/>
          <w:sz w:val="28"/>
          <w:szCs w:val="28"/>
        </w:rPr>
        <w:t>Obserwator (</w:t>
      </w:r>
      <w:proofErr w:type="spellStart"/>
      <w:r w:rsidRPr="00B57ED9">
        <w:rPr>
          <w:rFonts w:ascii="Times New Roman" w:hAnsi="Times New Roman" w:cs="Times New Roman"/>
          <w:b/>
          <w:bCs/>
          <w:sz w:val="28"/>
          <w:szCs w:val="28"/>
        </w:rPr>
        <w:t>Observer</w:t>
      </w:r>
      <w:proofErr w:type="spellEnd"/>
      <w:r w:rsidRPr="00B57ED9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20812B12" w14:textId="29EF5915" w:rsidR="00B57ED9" w:rsidRDefault="00B57ED9" w:rsidP="00B57ED9">
      <w:pPr>
        <w:jc w:val="both"/>
        <w:rPr>
          <w:rFonts w:ascii="Times New Roman" w:hAnsi="Times New Roman" w:cs="Times New Roman"/>
          <w:sz w:val="28"/>
          <w:szCs w:val="28"/>
        </w:rPr>
      </w:pPr>
      <w:r w:rsidRPr="00B57ED9">
        <w:rPr>
          <w:rFonts w:ascii="Times New Roman" w:hAnsi="Times New Roman" w:cs="Times New Roman"/>
          <w:sz w:val="28"/>
          <w:szCs w:val="28"/>
        </w:rPr>
        <w:t>Umożliwia powiadamianie różnych komponentów strony o zmianach w systemie. Przydatn</w:t>
      </w:r>
      <w:r w:rsidRPr="00B57ED9">
        <w:rPr>
          <w:rFonts w:ascii="Times New Roman" w:hAnsi="Times New Roman" w:cs="Times New Roman"/>
          <w:sz w:val="28"/>
          <w:szCs w:val="28"/>
        </w:rPr>
        <w:t>y</w:t>
      </w:r>
      <w:r w:rsidRPr="00B57ED9">
        <w:rPr>
          <w:rFonts w:ascii="Times New Roman" w:hAnsi="Times New Roman" w:cs="Times New Roman"/>
          <w:sz w:val="28"/>
          <w:szCs w:val="28"/>
        </w:rPr>
        <w:t>, gdy chcemy informować pacjentów o dostępnych terminach wizyt lub zmianach w ich danych.</w:t>
      </w:r>
    </w:p>
    <w:p w14:paraId="70D95056" w14:textId="03496C5F" w:rsidR="00B57ED9" w:rsidRPr="00B57ED9" w:rsidRDefault="00B57ED9" w:rsidP="00B57E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7ED9">
        <w:rPr>
          <w:rFonts w:ascii="Times New Roman" w:hAnsi="Times New Roman" w:cs="Times New Roman"/>
          <w:b/>
          <w:bCs/>
          <w:sz w:val="28"/>
          <w:szCs w:val="28"/>
        </w:rPr>
        <w:t>Budowniczy (Builder):</w:t>
      </w:r>
    </w:p>
    <w:p w14:paraId="292E3F5C" w14:textId="32CF3A99" w:rsidR="00B57ED9" w:rsidRPr="00B57ED9" w:rsidRDefault="00B57ED9" w:rsidP="00B57ED9">
      <w:pPr>
        <w:jc w:val="both"/>
        <w:rPr>
          <w:rFonts w:ascii="Times New Roman" w:hAnsi="Times New Roman" w:cs="Times New Roman"/>
          <w:sz w:val="28"/>
          <w:szCs w:val="28"/>
        </w:rPr>
      </w:pPr>
      <w:r w:rsidRPr="00B57ED9">
        <w:rPr>
          <w:rFonts w:ascii="Times New Roman" w:hAnsi="Times New Roman" w:cs="Times New Roman"/>
          <w:sz w:val="28"/>
          <w:szCs w:val="28"/>
        </w:rPr>
        <w:t xml:space="preserve">Wzorzec ten pozwala na konstrukcję złożonych obiektów krok po kroku. W przypadku obsługi cennika usług, </w:t>
      </w:r>
      <w:proofErr w:type="spellStart"/>
      <w:r w:rsidRPr="00B57ED9">
        <w:rPr>
          <w:rFonts w:ascii="Times New Roman" w:hAnsi="Times New Roman" w:cs="Times New Roman"/>
          <w:sz w:val="28"/>
          <w:szCs w:val="28"/>
        </w:rPr>
        <w:t>CennikBuilder</w:t>
      </w:r>
      <w:proofErr w:type="spellEnd"/>
      <w:r w:rsidRPr="00B57ED9">
        <w:rPr>
          <w:rFonts w:ascii="Times New Roman" w:hAnsi="Times New Roman" w:cs="Times New Roman"/>
          <w:sz w:val="28"/>
          <w:szCs w:val="28"/>
        </w:rPr>
        <w:t xml:space="preserve"> umożliwia budowanie obiektu Cennik z różnymi opcjonalnymi polami, co może być szczególnie przydatne, gdy mamy wiele opcji konfiguracyjnych.</w:t>
      </w:r>
    </w:p>
    <w:p w14:paraId="598A6AB2" w14:textId="6CBED278" w:rsidR="00B57ED9" w:rsidRPr="00B57ED9" w:rsidRDefault="00B57ED9" w:rsidP="00B57E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7ED9">
        <w:rPr>
          <w:rFonts w:ascii="Times New Roman" w:hAnsi="Times New Roman" w:cs="Times New Roman"/>
          <w:b/>
          <w:bCs/>
          <w:sz w:val="28"/>
          <w:szCs w:val="28"/>
        </w:rPr>
        <w:t>Strukturalny wzorzec danych (</w:t>
      </w:r>
      <w:proofErr w:type="spellStart"/>
      <w:r w:rsidRPr="00B57ED9">
        <w:rPr>
          <w:rFonts w:ascii="Times New Roman" w:hAnsi="Times New Roman" w:cs="Times New Roman"/>
          <w:b/>
          <w:bCs/>
          <w:sz w:val="28"/>
          <w:szCs w:val="28"/>
        </w:rPr>
        <w:t>Composite</w:t>
      </w:r>
      <w:proofErr w:type="spellEnd"/>
      <w:r w:rsidRPr="00B57ED9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53400CC1" w14:textId="6F9D396E" w:rsidR="00B57ED9" w:rsidRDefault="00B57ED9" w:rsidP="00B57ED9">
      <w:pPr>
        <w:jc w:val="both"/>
        <w:rPr>
          <w:rFonts w:ascii="Times New Roman" w:hAnsi="Times New Roman" w:cs="Times New Roman"/>
          <w:sz w:val="28"/>
          <w:szCs w:val="28"/>
        </w:rPr>
      </w:pPr>
      <w:r w:rsidRPr="00B57ED9">
        <w:rPr>
          <w:rFonts w:ascii="Times New Roman" w:hAnsi="Times New Roman" w:cs="Times New Roman"/>
          <w:sz w:val="28"/>
          <w:szCs w:val="28"/>
        </w:rPr>
        <w:t>Ułatwia traktowanie pojedynczych i grupowanych elementów w podobny sposób. Przydatne, gdy cennik może zawierać zarówno pojedyncze usługi, jak i grupy usług.</w:t>
      </w:r>
    </w:p>
    <w:p w14:paraId="705D9F33" w14:textId="77777777" w:rsidR="00B57ED9" w:rsidRDefault="00B57ED9" w:rsidP="00B57E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3F0CC8" w14:textId="77777777" w:rsidR="00B57ED9" w:rsidRDefault="00B57ED9" w:rsidP="00B57E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7A5C48" w14:textId="77777777" w:rsidR="00B57ED9" w:rsidRDefault="00B57ED9" w:rsidP="00B57E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DBE334" w14:textId="77777777" w:rsidR="00B57ED9" w:rsidRDefault="00B57ED9" w:rsidP="00B57E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14BF70" w14:textId="77777777" w:rsidR="00B57ED9" w:rsidRDefault="00B57ED9" w:rsidP="00B57E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04B751" w14:textId="77777777" w:rsidR="00B57ED9" w:rsidRDefault="00B57ED9" w:rsidP="00B57E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C2DE19" w14:textId="77777777" w:rsidR="00B57ED9" w:rsidRDefault="00B57ED9" w:rsidP="00B57E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7873F2" w14:textId="77777777" w:rsidR="00B57ED9" w:rsidRPr="00B57ED9" w:rsidRDefault="00B57ED9" w:rsidP="00B57ED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57ED9" w:rsidRPr="00B57E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D9"/>
    <w:rsid w:val="00B5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2F364"/>
  <w15:chartTrackingRefBased/>
  <w15:docId w15:val="{4E1D51A0-A76E-42CD-BAEE-0A0101F0C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9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Brońska</dc:creator>
  <cp:keywords/>
  <dc:description/>
  <cp:lastModifiedBy>Natalia Brońska</cp:lastModifiedBy>
  <cp:revision>1</cp:revision>
  <dcterms:created xsi:type="dcterms:W3CDTF">2024-01-10T15:22:00Z</dcterms:created>
  <dcterms:modified xsi:type="dcterms:W3CDTF">2024-01-10T15:31:00Z</dcterms:modified>
</cp:coreProperties>
</file>