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0"/>
          <w:szCs w:val="40"/>
        </w:rPr>
        <w:t xml:space="preserve">A/B Test Results Memo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Experiment: Ad Exposure vs. PSA Holdout (Conversion Lift Study)  |  Prepared for: Marketing &amp; Growth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DCFC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166534"/>
                <w:sz w:val="26"/>
                <w:szCs w:val="26"/>
              </w:rPr>
              <w:t xml:space="preserve">RECOMMENDATION: SHIP</w:t>
            </w:r>
          </w:p>
          <w:p>
            <w:pPr>
              <w:spacing w:before="60"/>
            </w:pPr>
            <w:r>
              <w:rPr>
                <w:color w:val="374151"/>
                <w:sz w:val="20"/>
                <w:szCs w:val="20"/>
              </w:rPr>
              <w:t xml:space="preserve">SHIP - statistically significant positive lift, confirmed by a consistent dose-response relationship and stable across every day of week.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11827"/>
                <w:sz w:val="30"/>
                <w:szCs w:val="30"/>
              </w:rPr>
              <w:t xml:space="preserve">1.79%</w:t>
            </w:r>
          </w:p>
          <w:p>
            <w:pPr>
              <w:jc w:val="center"/>
            </w:pPr>
            <w:r>
              <w:rPr>
                <w:color w:val="6B7280"/>
                <w:sz w:val="16"/>
                <w:szCs w:val="16"/>
              </w:rPr>
              <w:t xml:space="preserve">PSA (holdout) CVR</w:t>
            </w:r>
          </w:p>
        </w:tc>
        <w:tc>
          <w:tcPr>
            <w:tcW w:type="pct" w:w="25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11827"/>
                <w:sz w:val="30"/>
                <w:szCs w:val="30"/>
              </w:rPr>
              <w:t xml:space="preserve">2.56%</w:t>
            </w:r>
          </w:p>
          <w:p>
            <w:pPr>
              <w:jc w:val="center"/>
            </w:pPr>
            <w:r>
              <w:rPr>
                <w:color w:val="6B7280"/>
                <w:sz w:val="16"/>
                <w:szCs w:val="16"/>
              </w:rPr>
              <w:t xml:space="preserve">Ad CVR</w:t>
            </w:r>
          </w:p>
        </w:tc>
        <w:tc>
          <w:tcPr>
            <w:tcW w:type="pct" w:w="25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30"/>
                <w:szCs w:val="30"/>
              </w:rPr>
              <w:t xml:space="preserve">+43.1%</w:t>
            </w:r>
          </w:p>
          <w:p>
            <w:pPr>
              <w:jc w:val="center"/>
            </w:pPr>
            <w:r>
              <w:rPr>
                <w:color w:val="6B7280"/>
                <w:sz w:val="16"/>
                <w:szCs w:val="16"/>
              </w:rPr>
              <w:t xml:space="preserve">Relative Lift</w:t>
            </w:r>
          </w:p>
        </w:tc>
        <w:tc>
          <w:tcPr>
            <w:tcW w:type="pct" w:w="25%"/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11827"/>
                <w:sz w:val="30"/>
                <w:szCs w:val="30"/>
              </w:rPr>
              <w:t xml:space="preserve">&lt;0.0001</w:t>
            </w:r>
          </w:p>
          <w:p>
            <w:pPr>
              <w:jc w:val="center"/>
            </w:pPr>
            <w:r>
              <w:rPr>
                <w:color w:val="6B7280"/>
                <w:sz w:val="16"/>
                <w:szCs w:val="16"/>
              </w:rPr>
              <w:t xml:space="preserve">p-value</w:t>
            </w:r>
          </w:p>
        </w:tc>
      </w:tr>
    </w:tbl>
    <w:p>
      <w:pPr>
        <w:spacing w:after="100"/>
      </w:pPr>
    </w:p>
    <w:p>
      <w:pPr>
        <w:pStyle w:val="Heading2"/>
        <w:spacing w:after="50" w:before="80"/>
      </w:pPr>
      <w:r>
        <w:t xml:space="preserve">Hypothesis &amp; Design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H₀: Conversion rate is equal whether a user is shown the ad or the PSA. Two-sided test.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Design: a PSA-holdout conversion-lift study — the industry-standard method (used by Meta/Google Ads) for measuring the causal effect of ad exposure. Most users (96.0%) see the real ad; a randomized 4% holdout sees a public service announcement in the same ad slot instead.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Primary metric: conversion rate. Guardrails: exposure-opportunity balance between arms, holdout power adequacy, and a within-group dose-response check.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Pre-registered MDE: +15% relative lift — required holdout n ≈ 21,256 at α=0.05, power=0.8. Actual holdout (n=23,524) exceeds this, so the test is adequately powered.</w:t>
      </w:r>
    </w:p>
    <w:p>
      <w:pPr>
        <w:pStyle w:val="Heading2"/>
        <w:spacing w:after="50" w:before="100"/>
      </w:pPr>
      <w:r>
        <w:t xml:space="preserve">Data Quality &amp; Guardrails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588,101 rows, zero nulls, zero duplicate users — no cleaning required.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Exposure balance: mean ad-slot impressions (total_ads) are nearly identical between arms (ad 24.823 vs. psa 24.761, Welch t-test p=0.8274) — confirms the ad/PSA swap was randomized independently of browsing intensity, not confounded.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Dose-response: within the ad group, conversion rises monotonically with ad exposure (Spearman ρ=0.1945, p&lt;0.0001) — strong supporting evidence this is a real causal ad effect, not noise.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Lift is positive in every single day of the week (see chart) — no novelty effect or single-day anomaly driving the result.</w:t>
      </w:r>
    </w:p>
    <w:p>
      <w:pPr>
        <w:pStyle w:val="Heading2"/>
        <w:spacing w:after="50" w:before="100"/>
      </w:pPr>
      <w:r>
        <w:t xml:space="preserve">Statistical Results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Absolute lift: +0.769pp, 95% CI [0.595, 0.943]pp — entirely above zero.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Two-proportion z-test: z=7.3701, p&lt;0.0001. Chi-square test agrees (p&lt;0.0001).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Bootstrap (10,000 resamples): mean lift +0.7702pp, 95% CI [0.5927, 0.9409]pp — 100% of resamples favor the ad.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Estimated incremental conversions: 4,343 (vs. the PSA baseline rate). At an illustrative $50 AOV (no real order-value field in this dataset — substitute your actual AOV), that's ~$217,150 in incremental revenue attributable to the ad.</w:t>
      </w:r>
    </w:p>
    <w:p>
      <w:pPr>
        <w:pStyle w:val="Heading2"/>
        <w:spacing w:after="40" w:before="80"/>
      </w:pPr>
      <w:r>
        <w:t xml:space="preserve">Visuals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jc w:val="center"/>
            </w:pPr>
            <w:r>
              <w:drawing>
                <wp:inline distT="0" distB="0" distL="0" distR="0">
                  <wp:extent cx="2238375" cy="1676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drawing>
                <wp:inline distT="0" distB="0" distL="0" distR="0">
                  <wp:extent cx="2238375" cy="1343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  <w:spacing w:after="50" w:before="100"/>
      </w:pPr>
      <w:r>
        <w:t xml:space="preserve">Next Steps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Ship: roll out to the PSA holdout, keeping a small (~1%) permanent holdout to keep measuring incrementality going forward.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Segment by exposure_bucket for a frequency-capping study — conversion keeps climbing at high exposure; check against fatigue/cost per incremental conversion.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Replace the illustrative $50 AOV with actual order-value data before this revenue estimate goes into a budget conversation.</w:t>
      </w:r>
    </w:p>
    <w:sectPr>
      <w:pgSz w:w="12240" w:h="15840" w:orient="portrait"/>
      <w:pgMar w:top="500" w:right="900" w:bottom="5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0faed2d6984a77cf6b6d49ca259876673bf588e.png"/><Relationship Id="rId8" Type="http://schemas.openxmlformats.org/officeDocument/2006/relationships/image" Target="media/ba978122848131168d30b53ceed6758ad437759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2026-08-29T01:57:33.215Z</dcterms:created>
  <dcterms:modified xsi:type="dcterms:W3CDTF">2026-08-29T01:57:33.215Z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