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1816C" w14:textId="210C53B3" w:rsidR="001F1D7D" w:rsidRPr="0080307A" w:rsidRDefault="00947112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sz w:val="24"/>
          <w:szCs w:val="24"/>
          <w:lang w:val="es-ES"/>
        </w:rPr>
        <w:t>COSTAR</w:t>
      </w:r>
    </w:p>
    <w:p w14:paraId="70F3CD1F" w14:textId="4AA3A57F" w:rsidR="00947112" w:rsidRPr="0080307A" w:rsidRDefault="00947112" w:rsidP="009471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Contexto: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Evaluar la gobernanza de ciberseguridad del proyecto de detección de incidentes viales con replanificación dinámica de rutas mediante NIST CSF 2.0</w:t>
      </w:r>
    </w:p>
    <w:p w14:paraId="1561A11F" w14:textId="2DD2E0BA" w:rsidR="00947112" w:rsidRPr="0080307A" w:rsidRDefault="00947112" w:rsidP="009471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Objetivo: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Evaluar la consistencia de la gobernanza de riesgo de ciberseguridad del proyecto frente a las seis categorías de GOVERN.</w:t>
      </w:r>
    </w:p>
    <w:p w14:paraId="0E03FF43" w14:textId="57034FBA" w:rsidR="00947112" w:rsidRPr="0080307A" w:rsidRDefault="00947112" w:rsidP="009471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Style: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Ejecutivo, basado en el contexto y en los documentos provicionados. </w:t>
      </w:r>
    </w:p>
    <w:p w14:paraId="35168343" w14:textId="7B6F74CA" w:rsidR="00947112" w:rsidRPr="0080307A" w:rsidRDefault="00947112" w:rsidP="009471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Tone: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Neutral</w:t>
      </w:r>
      <w:r w:rsidR="0080307A">
        <w:rPr>
          <w:rFonts w:ascii="Times New Roman" w:hAnsi="Times New Roman" w:cs="Times New Roman"/>
          <w:sz w:val="24"/>
          <w:szCs w:val="24"/>
          <w:lang w:val="es-ES"/>
        </w:rPr>
        <w:t xml:space="preserve"> y profesional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</w:p>
    <w:p w14:paraId="2105625D" w14:textId="5A85D84C" w:rsidR="00947112" w:rsidRPr="0080307A" w:rsidRDefault="00947112" w:rsidP="009471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Audiencia: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Asesor del proyecto, stakeholders y docente de </w:t>
      </w:r>
      <w:r w:rsidR="00EB24DE">
        <w:rPr>
          <w:rFonts w:ascii="Times New Roman" w:hAnsi="Times New Roman" w:cs="Times New Roman"/>
          <w:sz w:val="24"/>
          <w:szCs w:val="24"/>
          <w:lang w:val="es-ES"/>
        </w:rPr>
        <w:t>clase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de ciberseguridad.</w:t>
      </w:r>
    </w:p>
    <w:p w14:paraId="27A0B7C1" w14:textId="05CB05AB" w:rsidR="00947112" w:rsidRPr="0080307A" w:rsidRDefault="00947112" w:rsidP="009471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Response:</w:t>
      </w:r>
      <w:r w:rsidRPr="0080307A">
        <w:rPr>
          <w:rFonts w:ascii="Times New Roman" w:hAnsi="Times New Roman" w:cs="Times New Roman"/>
          <w:sz w:val="24"/>
          <w:szCs w:val="24"/>
          <w:lang w:val="es-ES"/>
        </w:rPr>
        <w:t xml:space="preserve"> Resumen de Govern, evaluación por categorías con estado.</w:t>
      </w:r>
    </w:p>
    <w:p w14:paraId="29A90070" w14:textId="23FD7FBA" w:rsidR="00947112" w:rsidRPr="0080307A" w:rsidRDefault="00947112" w:rsidP="00947112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80307A">
        <w:rPr>
          <w:rFonts w:ascii="Times New Roman" w:hAnsi="Times New Roman" w:cs="Times New Roman"/>
          <w:b/>
          <w:bCs/>
          <w:sz w:val="24"/>
          <w:szCs w:val="24"/>
          <w:lang w:val="es-ES"/>
        </w:rPr>
        <w:t>Caso de uso 1.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0"/>
        <w:gridCol w:w="2300"/>
        <w:gridCol w:w="3734"/>
      </w:tblGrid>
      <w:tr w:rsidR="00947112" w:rsidRPr="0080307A" w14:paraId="1222160A" w14:textId="77777777" w:rsidTr="00947112">
        <w:tc>
          <w:tcPr>
            <w:tcW w:w="2831" w:type="dxa"/>
          </w:tcPr>
          <w:p w14:paraId="7870724A" w14:textId="32F121ED" w:rsidR="00947112" w:rsidRPr="0080307A" w:rsidRDefault="00947112" w:rsidP="009471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Categoría GV</w:t>
            </w:r>
          </w:p>
        </w:tc>
        <w:tc>
          <w:tcPr>
            <w:tcW w:w="2831" w:type="dxa"/>
          </w:tcPr>
          <w:p w14:paraId="0CDD7C5E" w14:textId="1869CE36" w:rsidR="00947112" w:rsidRPr="0080307A" w:rsidRDefault="00947112" w:rsidP="009471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Estado</w:t>
            </w:r>
          </w:p>
        </w:tc>
        <w:tc>
          <w:tcPr>
            <w:tcW w:w="2832" w:type="dxa"/>
          </w:tcPr>
          <w:p w14:paraId="27F8E2D0" w14:textId="523017DB" w:rsidR="00947112" w:rsidRPr="0080307A" w:rsidRDefault="00947112" w:rsidP="009471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Evidencia</w:t>
            </w:r>
          </w:p>
        </w:tc>
      </w:tr>
      <w:tr w:rsidR="00947112" w:rsidRPr="0080307A" w14:paraId="34A939AA" w14:textId="77777777" w:rsidTr="00947112">
        <w:tc>
          <w:tcPr>
            <w:tcW w:w="2831" w:type="dxa"/>
          </w:tcPr>
          <w:p w14:paraId="40B43441" w14:textId="4E67C0FA" w:rsidR="00947112" w:rsidRPr="0080307A" w:rsidRDefault="00947112" w:rsidP="009471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GV.OC (Contexto organizacional)</w:t>
            </w:r>
          </w:p>
        </w:tc>
        <w:tc>
          <w:tcPr>
            <w:tcW w:w="2831" w:type="dxa"/>
          </w:tcPr>
          <w:p w14:paraId="5C458B69" w14:textId="507A9C46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Parcial</w:t>
            </w:r>
          </w:p>
        </w:tc>
        <w:tc>
          <w:tcPr>
            <w:tcW w:w="2832" w:type="dxa"/>
          </w:tcPr>
          <w:p w14:paraId="73022743" w14:textId="1A127AB8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713A7D">
              <w:rPr>
                <w:rFonts w:ascii="Times New Roman" w:hAnsi="Times New Roman" w:cs="Times New Roman"/>
                <w:sz w:val="24"/>
                <w:szCs w:val="24"/>
              </w:rPr>
              <w:t xml:space="preserve">e 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identifica</w:t>
            </w:r>
            <w:r w:rsidR="00713A7D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3 actores (Investigador, Agente Autónomo, Infraestructura); </w:t>
            </w:r>
            <w:r w:rsidR="00713A7D">
              <w:rPr>
                <w:rFonts w:ascii="Times New Roman" w:hAnsi="Times New Roman" w:cs="Times New Roman"/>
                <w:sz w:val="24"/>
                <w:szCs w:val="24"/>
              </w:rPr>
              <w:t xml:space="preserve">luego se 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delimita el alcance a simulación pura. Falta declarar explícitamente a quién afectaría un fallo en un eventual despliegue real.</w:t>
            </w:r>
          </w:p>
        </w:tc>
      </w:tr>
      <w:tr w:rsidR="00947112" w:rsidRPr="0080307A" w14:paraId="250AD7F5" w14:textId="77777777" w:rsidTr="00947112">
        <w:tc>
          <w:tcPr>
            <w:tcW w:w="2831" w:type="dxa"/>
          </w:tcPr>
          <w:p w14:paraId="5B160034" w14:textId="47B18EA5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GV.RM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(Estrategia de gestión de riesgo)</w:t>
            </w:r>
          </w:p>
        </w:tc>
        <w:tc>
          <w:tcPr>
            <w:tcW w:w="2831" w:type="dxa"/>
          </w:tcPr>
          <w:p w14:paraId="7612B5BC" w14:textId="7FBA0412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Alineado (parcialmente)</w:t>
            </w:r>
          </w:p>
        </w:tc>
        <w:tc>
          <w:tcPr>
            <w:tcW w:w="2832" w:type="dxa"/>
          </w:tcPr>
          <w:p w14:paraId="46D2EE40" w14:textId="3052CE25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RNF-02 fija tolerancia cuantitativa (falsas alarmas ≤10%); trata</w:t>
            </w:r>
            <w:r w:rsidR="00713A7D">
              <w:rPr>
                <w:rFonts w:ascii="Times New Roman" w:hAnsi="Times New Roman" w:cs="Times New Roman"/>
                <w:sz w:val="24"/>
                <w:szCs w:val="24"/>
              </w:rPr>
              <w:t>ndo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los errores de detección bajo el marco conceptual de ISO 21448 como limitación de desempeño. Falta un plan de acción formal para cuando el umbral se incumple (se incumplió: </w:t>
            </w:r>
            <w:r w:rsidR="0080307A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.6%).</w:t>
            </w:r>
          </w:p>
        </w:tc>
      </w:tr>
      <w:tr w:rsidR="00947112" w:rsidRPr="0080307A" w14:paraId="1CAB48F1" w14:textId="77777777" w:rsidTr="00947112">
        <w:tc>
          <w:tcPr>
            <w:tcW w:w="2831" w:type="dxa"/>
          </w:tcPr>
          <w:p w14:paraId="2C0B8927" w14:textId="5A1BFD89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GV.RR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(Roles, responsabilidades, autoridades)</w:t>
            </w:r>
          </w:p>
        </w:tc>
        <w:tc>
          <w:tcPr>
            <w:tcW w:w="2831" w:type="dxa"/>
          </w:tcPr>
          <w:p w14:paraId="51996B05" w14:textId="01EA5D5D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Parcial</w:t>
            </w:r>
          </w:p>
        </w:tc>
        <w:tc>
          <w:tcPr>
            <w:tcW w:w="2832" w:type="dxa"/>
          </w:tcPr>
          <w:p w14:paraId="05AB6E18" w14:textId="54E7454B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Los ADRs documentan decisiones con alternativas consideradas; el asesor funciona como autoridad de aprobación metodológica. No hay declaración explícita de quién tiene autoridad para aceptar un riesgo de seguridad residual.</w:t>
            </w:r>
          </w:p>
        </w:tc>
      </w:tr>
      <w:tr w:rsidR="00947112" w:rsidRPr="0080307A" w14:paraId="53960E99" w14:textId="77777777" w:rsidTr="00947112">
        <w:tc>
          <w:tcPr>
            <w:tcW w:w="2831" w:type="dxa"/>
          </w:tcPr>
          <w:p w14:paraId="7219FE32" w14:textId="2CE0271C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GV.PO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(Política)</w:t>
            </w:r>
          </w:p>
        </w:tc>
        <w:tc>
          <w:tcPr>
            <w:tcW w:w="2831" w:type="dxa"/>
          </w:tcPr>
          <w:p w14:paraId="6A39AA4A" w14:textId="2E749AFE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Parcial</w:t>
            </w:r>
          </w:p>
        </w:tc>
        <w:tc>
          <w:tcPr>
            <w:tcW w:w="2832" w:type="dxa"/>
          </w:tcPr>
          <w:p w14:paraId="4146C8E7" w14:textId="4B001D52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Tabla IV declara qué estándares aplican y con qué alcance</w:t>
            </w:r>
            <w:r w:rsidR="00713A7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No hay una política de seguridad independiente que gobierne decisiones futuras (ej. "todo cambio de flujo de datos exige actualizar la Tabla XV").</w:t>
            </w:r>
          </w:p>
        </w:tc>
      </w:tr>
      <w:tr w:rsidR="00947112" w:rsidRPr="0080307A" w14:paraId="600AA294" w14:textId="77777777" w:rsidTr="00947112">
        <w:tc>
          <w:tcPr>
            <w:tcW w:w="2831" w:type="dxa"/>
          </w:tcPr>
          <w:p w14:paraId="3EBAE4C4" w14:textId="45B36EED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GV.OV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(Supervisión)</w:t>
            </w:r>
          </w:p>
        </w:tc>
        <w:tc>
          <w:tcPr>
            <w:tcW w:w="2831" w:type="dxa"/>
          </w:tcPr>
          <w:p w14:paraId="22E6FD3C" w14:textId="512AC249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Parcial</w:t>
            </w:r>
          </w:p>
        </w:tc>
        <w:tc>
          <w:tcPr>
            <w:tcW w:w="2832" w:type="dxa"/>
          </w:tcPr>
          <w:p w14:paraId="128DABF5" w14:textId="19D7101C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Existe revisión iterativa del documento completo con el asesor. No hay un mecanismo de supervisión específico de seguridad.</w:t>
            </w:r>
          </w:p>
        </w:tc>
      </w:tr>
      <w:tr w:rsidR="00947112" w:rsidRPr="0080307A" w14:paraId="6798DDBA" w14:textId="77777777" w:rsidTr="00947112">
        <w:tc>
          <w:tcPr>
            <w:tcW w:w="2831" w:type="dxa"/>
          </w:tcPr>
          <w:p w14:paraId="130BFA09" w14:textId="222EF5A9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GV.SC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(Cadena de suministro)</w:t>
            </w:r>
          </w:p>
        </w:tc>
        <w:tc>
          <w:tcPr>
            <w:tcW w:w="2831" w:type="dxa"/>
          </w:tcPr>
          <w:p w14:paraId="4D83DED2" w14:textId="3AAB0A15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No abordado</w:t>
            </w:r>
          </w:p>
        </w:tc>
        <w:tc>
          <w:tcPr>
            <w:tcW w:w="2832" w:type="dxa"/>
          </w:tcPr>
          <w:p w14:paraId="5707F6EE" w14:textId="727F4767" w:rsidR="00947112" w:rsidRPr="0080307A" w:rsidRDefault="00947112" w:rsidP="00947112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Sin tratamiento de la procedencia del dataset ACCIDENT, del 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backbone ResNet50 preentrenado (arquitectura Arq-D: ResNet50+CBAM+ConvLSTM2D), ni de dependencias de software (CARLA, ONNX Runtime).</w:t>
            </w:r>
          </w:p>
        </w:tc>
      </w:tr>
    </w:tbl>
    <w:p w14:paraId="19009921" w14:textId="31012C4A" w:rsidR="00947112" w:rsidRPr="0080307A" w:rsidRDefault="00947112" w:rsidP="00947112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FC52AF2" w14:textId="77777777" w:rsidR="00947112" w:rsidRPr="0080307A" w:rsidRDefault="00947112" w:rsidP="009471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Rupturas de gobernanza:</w:t>
      </w:r>
    </w:p>
    <w:p w14:paraId="4A0D8BF6" w14:textId="4FBFE6C4" w:rsidR="00947112" w:rsidRPr="0080307A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Política vs. estrategia: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la estrategia de riesgo (RNF-02) es más fuerte que la política que la respalda </w:t>
      </w:r>
      <w:r w:rsidR="00713A7D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puesto que 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>hay un número objetivo, pero no un procedimiento escrito de qué hacer cuando se incumple.</w:t>
      </w:r>
    </w:p>
    <w:p w14:paraId="04BF3490" w14:textId="53A3E5A0" w:rsidR="00947112" w:rsidRPr="0080307A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Apetito de riesgo:</w:t>
      </w:r>
      <w:r w:rsidR="00713A7D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990C6C">
        <w:rPr>
          <w:rFonts w:ascii="Times New Roman" w:eastAsia="Times New Roman" w:hAnsi="Times New Roman" w:cs="Times New Roman"/>
          <w:sz w:val="24"/>
          <w:szCs w:val="24"/>
          <w:lang w:eastAsia="es-419"/>
        </w:rPr>
        <w:t>s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 declara el incumplimiento del </w:t>
      </w:r>
      <w:r w:rsidR="00713A7D">
        <w:rPr>
          <w:rFonts w:ascii="Times New Roman" w:eastAsia="Times New Roman" w:hAnsi="Times New Roman" w:cs="Times New Roman"/>
          <w:sz w:val="24"/>
          <w:szCs w:val="24"/>
          <w:lang w:eastAsia="es-419"/>
        </w:rPr>
        <w:t>30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>.6% en vez de ocultarlo.</w:t>
      </w:r>
    </w:p>
    <w:p w14:paraId="0E37D9E3" w14:textId="76D4FBB1" w:rsidR="00713A7D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Rendición de cuentas: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990C6C">
        <w:rPr>
          <w:rFonts w:ascii="Times New Roman" w:eastAsia="Times New Roman" w:hAnsi="Times New Roman" w:cs="Times New Roman"/>
          <w:sz w:val="24"/>
          <w:szCs w:val="24"/>
          <w:lang w:eastAsia="es-419"/>
        </w:rPr>
        <w:t>l</w:t>
      </w:r>
      <w:r w:rsidR="000366A9">
        <w:rPr>
          <w:rFonts w:ascii="Times New Roman" w:eastAsia="Times New Roman" w:hAnsi="Times New Roman" w:cs="Times New Roman"/>
          <w:sz w:val="24"/>
          <w:szCs w:val="24"/>
          <w:lang w:eastAsia="es-419"/>
        </w:rPr>
        <w:t>a autora y el asesor son los encargados de manera implícita, pero no se formaliza para decisiones de seguridad especificas</w:t>
      </w:r>
    </w:p>
    <w:p w14:paraId="3B7923E5" w14:textId="77777777" w:rsidR="00947112" w:rsidRPr="0080307A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Supervisión: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genérica, no orientada a seguridad.</w:t>
      </w:r>
    </w:p>
    <w:p w14:paraId="3162CE2D" w14:textId="239D81FF" w:rsidR="00947112" w:rsidRPr="0080307A" w:rsidRDefault="00947112" w:rsidP="00947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Cadena de suministro: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990C6C">
        <w:rPr>
          <w:rFonts w:ascii="Times New Roman" w:eastAsia="Times New Roman" w:hAnsi="Times New Roman" w:cs="Times New Roman"/>
          <w:sz w:val="24"/>
          <w:szCs w:val="24"/>
          <w:lang w:eastAsia="es-419"/>
        </w:rPr>
        <w:t>a</w:t>
      </w:r>
      <w:r w:rsidR="000366A9">
        <w:rPr>
          <w:rFonts w:ascii="Times New Roman" w:eastAsia="Times New Roman" w:hAnsi="Times New Roman" w:cs="Times New Roman"/>
          <w:sz w:val="24"/>
          <w:szCs w:val="24"/>
          <w:lang w:eastAsia="es-419"/>
        </w:rPr>
        <w:t>usente</w:t>
      </w:r>
    </w:p>
    <w:p w14:paraId="774BAB46" w14:textId="77777777" w:rsidR="00947112" w:rsidRPr="0080307A" w:rsidRDefault="00947112" w:rsidP="009471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Implicaciones de riesgo de gobernanza:</w:t>
      </w:r>
    </w:p>
    <w:p w14:paraId="2CF694FE" w14:textId="1F5F6116" w:rsidR="00947112" w:rsidRPr="0080307A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Autoridad de decisión: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aceptar A-10 (</w:t>
      </w:r>
      <w:r w:rsidR="000366A9">
        <w:rPr>
          <w:rFonts w:ascii="Times New Roman" w:eastAsia="Times New Roman" w:hAnsi="Times New Roman" w:cs="Times New Roman"/>
          <w:sz w:val="24"/>
          <w:szCs w:val="24"/>
          <w:lang w:eastAsia="es-419"/>
        </w:rPr>
        <w:t>no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autenticación) como riesgo residual debería ser una decisión trazable del asesor, no una frase en el texto.</w:t>
      </w:r>
    </w:p>
    <w:p w14:paraId="0ABE91CB" w14:textId="58102815" w:rsidR="00947112" w:rsidRPr="0080307A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Exposición regulatoria:</w:t>
      </w:r>
      <w:r w:rsidR="000366A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990C6C">
        <w:rPr>
          <w:rFonts w:ascii="Times New Roman" w:eastAsia="Times New Roman" w:hAnsi="Times New Roman" w:cs="Times New Roman"/>
          <w:sz w:val="24"/>
          <w:szCs w:val="24"/>
          <w:lang w:eastAsia="es-419"/>
        </w:rPr>
        <w:t>e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>l alcance se restringe explícitamente a simulación (Sección 1.6), lo cual es en sí mismo un control de gobernanza correcto.</w:t>
      </w:r>
    </w:p>
    <w:p w14:paraId="4BEBD117" w14:textId="77777777" w:rsidR="00947112" w:rsidRPr="0080307A" w:rsidRDefault="00947112" w:rsidP="009471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Supervisión: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no ser específica de seguridad, un cambio futuro en un flujo de datos podría pasar desapercibido para el modelo de amenazas.</w:t>
      </w:r>
    </w:p>
    <w:p w14:paraId="704E3DC2" w14:textId="2E18E5C8" w:rsidR="000366A9" w:rsidRPr="000366A9" w:rsidRDefault="00947112" w:rsidP="000366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80307A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Aceptación de riesgo:</w:t>
      </w:r>
      <w:r w:rsidRPr="0080307A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 patrón "se acepta como riesgo residual" aparece más de una vez en la Tabla XV (A-10, en menor medida A-01/A-05) sin una única instancia formal que las agrupe.</w:t>
      </w:r>
    </w:p>
    <w:p w14:paraId="134FF686" w14:textId="6AAEDD62" w:rsidR="000366A9" w:rsidRDefault="00947112" w:rsidP="000366A9">
      <w:pPr>
        <w:pStyle w:val="Prrafodelista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</w:pPr>
      <w:r w:rsidRPr="000366A9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SSDF </w:t>
      </w:r>
    </w:p>
    <w:p w14:paraId="289B4326" w14:textId="53CF1DC9" w:rsidR="00947112" w:rsidRPr="000366A9" w:rsidRDefault="000366A9" w:rsidP="00612003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El SSDF dice como se construye el sistema con menos vulnerabilidades. Conectándolo directamente con los vacíos de Govern.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048"/>
        <w:gridCol w:w="1911"/>
        <w:gridCol w:w="2189"/>
        <w:gridCol w:w="1986"/>
      </w:tblGrid>
      <w:tr w:rsidR="002E0C4B" w:rsidRPr="0080307A" w14:paraId="5D5C67C8" w14:textId="77777777" w:rsidTr="002E0C4B">
        <w:tc>
          <w:tcPr>
            <w:tcW w:w="2123" w:type="dxa"/>
          </w:tcPr>
          <w:p w14:paraId="1B66C63E" w14:textId="57835DFB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SSDF</w:t>
            </w:r>
          </w:p>
        </w:tc>
        <w:tc>
          <w:tcPr>
            <w:tcW w:w="2123" w:type="dxa"/>
          </w:tcPr>
          <w:p w14:paraId="50CFE627" w14:textId="38B4BF4C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Vacio de GV</w:t>
            </w:r>
          </w:p>
        </w:tc>
        <w:tc>
          <w:tcPr>
            <w:tcW w:w="2124" w:type="dxa"/>
          </w:tcPr>
          <w:p w14:paraId="52BD57C2" w14:textId="6F50A7FA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Recomendacion</w:t>
            </w:r>
          </w:p>
        </w:tc>
        <w:tc>
          <w:tcPr>
            <w:tcW w:w="2124" w:type="dxa"/>
          </w:tcPr>
          <w:p w14:paraId="44DC9567" w14:textId="0FEE2C86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Tipo de control</w:t>
            </w:r>
          </w:p>
        </w:tc>
      </w:tr>
      <w:tr w:rsidR="002E0C4B" w:rsidRPr="0080307A" w14:paraId="4FA02C31" w14:textId="77777777" w:rsidTr="002E0C4B">
        <w:tc>
          <w:tcPr>
            <w:tcW w:w="2123" w:type="dxa"/>
          </w:tcPr>
          <w:p w14:paraId="3D065BEB" w14:textId="2BD8A98D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PO.1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(requisitos de seguridad tempranos)</w:t>
            </w:r>
          </w:p>
        </w:tc>
        <w:tc>
          <w:tcPr>
            <w:tcW w:w="2123" w:type="dxa"/>
          </w:tcPr>
          <w:p w14:paraId="38010E4E" w14:textId="13D4C257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GV.PO</w:t>
            </w:r>
          </w:p>
        </w:tc>
        <w:tc>
          <w:tcPr>
            <w:tcW w:w="2124" w:type="dxa"/>
          </w:tcPr>
          <w:p w14:paraId="1B8E8833" w14:textId="22C38018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Formalizar la Tabla XV como "definition of done" de seguridad en cada iteración Crystal Clear, no solo un paso de diseño inicial</w:t>
            </w:r>
          </w:p>
        </w:tc>
        <w:tc>
          <w:tcPr>
            <w:tcW w:w="2124" w:type="dxa"/>
          </w:tcPr>
          <w:p w14:paraId="460BD967" w14:textId="5249F8CE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Organizacional</w:t>
            </w:r>
          </w:p>
        </w:tc>
      </w:tr>
      <w:tr w:rsidR="002E0C4B" w:rsidRPr="0080307A" w14:paraId="17F90CB5" w14:textId="77777777" w:rsidTr="002E0C4B">
        <w:tc>
          <w:tcPr>
            <w:tcW w:w="2123" w:type="dxa"/>
          </w:tcPr>
          <w:p w14:paraId="4ECC4398" w14:textId="09DC8AC0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PS.2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(procedencia de artefactos)</w:t>
            </w:r>
          </w:p>
        </w:tc>
        <w:tc>
          <w:tcPr>
            <w:tcW w:w="2123" w:type="dxa"/>
          </w:tcPr>
          <w:p w14:paraId="0D49F85C" w14:textId="541C72A0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GV.SC</w:t>
            </w:r>
          </w:p>
        </w:tc>
        <w:tc>
          <w:tcPr>
            <w:tcW w:w="2124" w:type="dxa"/>
          </w:tcPr>
          <w:p w14:paraId="69C9A89A" w14:textId="6951450E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Versionar cada </w:t>
            </w:r>
            <w:r w:rsidRPr="0080307A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.h5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con hash de commit y partición de datos; registrar procedencia/licencia del dataset 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ACCIDENT y del backbone</w:t>
            </w:r>
          </w:p>
        </w:tc>
        <w:tc>
          <w:tcPr>
            <w:tcW w:w="2124" w:type="dxa"/>
          </w:tcPr>
          <w:p w14:paraId="78560B36" w14:textId="1AB84F64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Tecnológico</w:t>
            </w:r>
          </w:p>
        </w:tc>
      </w:tr>
      <w:tr w:rsidR="002E0C4B" w:rsidRPr="0080307A" w14:paraId="2287050D" w14:textId="77777777" w:rsidTr="002E0C4B">
        <w:tc>
          <w:tcPr>
            <w:tcW w:w="2123" w:type="dxa"/>
          </w:tcPr>
          <w:p w14:paraId="4869396B" w14:textId="02C0DD59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PW.7/PW.8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(revisión y prueba)</w:t>
            </w:r>
          </w:p>
        </w:tc>
        <w:tc>
          <w:tcPr>
            <w:tcW w:w="2123" w:type="dxa"/>
          </w:tcPr>
          <w:p w14:paraId="07CCAA85" w14:textId="550CB000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GV.RR (autoridad implícita sin verificación)</w:t>
            </w:r>
          </w:p>
        </w:tc>
        <w:tc>
          <w:tcPr>
            <w:tcW w:w="2124" w:type="dxa"/>
          </w:tcPr>
          <w:p w14:paraId="51B67254" w14:textId="047256E7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Prueba de regresión para A-07 (concurrencia); revisión de código como parte del checklist, no solo documentación</w:t>
            </w:r>
          </w:p>
        </w:tc>
        <w:tc>
          <w:tcPr>
            <w:tcW w:w="2124" w:type="dxa"/>
          </w:tcPr>
          <w:p w14:paraId="5F4CDB54" w14:textId="442661E5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Tecnológico</w:t>
            </w:r>
          </w:p>
        </w:tc>
      </w:tr>
      <w:tr w:rsidR="002E0C4B" w:rsidRPr="0080307A" w14:paraId="21130D24" w14:textId="77777777" w:rsidTr="002E0C4B">
        <w:tc>
          <w:tcPr>
            <w:tcW w:w="2123" w:type="dxa"/>
          </w:tcPr>
          <w:p w14:paraId="30D98DE7" w14:textId="154826D6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RV.1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(identificación continua de vulnerabilidades)</w:t>
            </w:r>
          </w:p>
        </w:tc>
        <w:tc>
          <w:tcPr>
            <w:tcW w:w="2123" w:type="dxa"/>
          </w:tcPr>
          <w:p w14:paraId="2525AA04" w14:textId="479434EB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GV.OV</w:t>
            </w:r>
          </w:p>
        </w:tc>
        <w:tc>
          <w:tcPr>
            <w:tcW w:w="2124" w:type="dxa"/>
          </w:tcPr>
          <w:p w14:paraId="30F81FCA" w14:textId="6139BB02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Revisar la Tabla XV cada vez que se modifica un flujo de datos, no una sola vez al final</w:t>
            </w:r>
          </w:p>
        </w:tc>
        <w:tc>
          <w:tcPr>
            <w:tcW w:w="2124" w:type="dxa"/>
          </w:tcPr>
          <w:p w14:paraId="39E85509" w14:textId="5A5E4E4A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Organizacional</w:t>
            </w:r>
          </w:p>
        </w:tc>
      </w:tr>
      <w:tr w:rsidR="002E0C4B" w:rsidRPr="0080307A" w14:paraId="78ABD4A0" w14:textId="77777777" w:rsidTr="002E0C4B">
        <w:tc>
          <w:tcPr>
            <w:tcW w:w="2123" w:type="dxa"/>
          </w:tcPr>
          <w:p w14:paraId="72EBF3DE" w14:textId="6607FE7E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RV.2/RV.3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(gestión y causa raíz)</w:t>
            </w:r>
          </w:p>
        </w:tc>
        <w:tc>
          <w:tcPr>
            <w:tcW w:w="2123" w:type="dxa"/>
          </w:tcPr>
          <w:p w14:paraId="60F78B06" w14:textId="46D846DB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GV.RM (plan de acción cuando se incumple el umbral)</w:t>
            </w:r>
          </w:p>
        </w:tc>
        <w:tc>
          <w:tcPr>
            <w:tcW w:w="2124" w:type="dxa"/>
          </w:tcPr>
          <w:p w14:paraId="139D5D4B" w14:textId="7EA8E793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Documentar plan de remediación con responsable y fecha para A-06 y A-07</w:t>
            </w:r>
          </w:p>
        </w:tc>
        <w:tc>
          <w:tcPr>
            <w:tcW w:w="2124" w:type="dxa"/>
          </w:tcPr>
          <w:p w14:paraId="1710C03E" w14:textId="40C7CADA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Organizacional</w:t>
            </w:r>
          </w:p>
        </w:tc>
      </w:tr>
      <w:tr w:rsidR="002E0C4B" w:rsidRPr="0080307A" w14:paraId="2ECC32A4" w14:textId="77777777" w:rsidTr="002E0C4B">
        <w:tc>
          <w:tcPr>
            <w:tcW w:w="2123" w:type="dxa"/>
          </w:tcPr>
          <w:p w14:paraId="7308F09D" w14:textId="3E71FBEE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PW.4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(reutilización de componentes seguros)</w:t>
            </w:r>
          </w:p>
        </w:tc>
        <w:tc>
          <w:tcPr>
            <w:tcW w:w="2123" w:type="dxa"/>
          </w:tcPr>
          <w:p w14:paraId="3903A5DB" w14:textId="7F5C33AF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Producto, sin vacío GV directo pero cierra superficie de ataque</w:t>
            </w:r>
          </w:p>
        </w:tc>
        <w:tc>
          <w:tcPr>
            <w:tcW w:w="2124" w:type="dxa"/>
          </w:tcPr>
          <w:p w14:paraId="5BFE8EE9" w14:textId="2009CD6D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pip-audit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80307A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npm audit</w:t>
            </w: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 xml:space="preserve"> en el flujo de construcción</w:t>
            </w:r>
          </w:p>
        </w:tc>
        <w:tc>
          <w:tcPr>
            <w:tcW w:w="2124" w:type="dxa"/>
          </w:tcPr>
          <w:p w14:paraId="4FBD5E01" w14:textId="67A9A87E" w:rsidR="002E0C4B" w:rsidRPr="0080307A" w:rsidRDefault="002E0C4B" w:rsidP="009471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80307A">
              <w:rPr>
                <w:rFonts w:ascii="Times New Roman" w:hAnsi="Times New Roman" w:cs="Times New Roman"/>
                <w:sz w:val="24"/>
                <w:szCs w:val="24"/>
              </w:rPr>
              <w:t>Tecnológico</w:t>
            </w:r>
          </w:p>
        </w:tc>
      </w:tr>
    </w:tbl>
    <w:p w14:paraId="20CEB0BC" w14:textId="5ED02F56" w:rsidR="002E0C4B" w:rsidRPr="0080307A" w:rsidRDefault="002E0C4B" w:rsidP="000366A9">
      <w:pPr>
        <w:pStyle w:val="Ttulo3"/>
        <w:rPr>
          <w:sz w:val="24"/>
          <w:szCs w:val="24"/>
        </w:rPr>
      </w:pPr>
    </w:p>
    <w:p w14:paraId="52BBD6B7" w14:textId="73B4E3C9" w:rsidR="002E0C4B" w:rsidRDefault="00EB24DE" w:rsidP="002E0C4B">
      <w:pPr>
        <w:pStyle w:val="Ttulo3"/>
        <w:rPr>
          <w:sz w:val="24"/>
          <w:szCs w:val="24"/>
        </w:rPr>
      </w:pPr>
      <w:r>
        <w:rPr>
          <w:sz w:val="24"/>
          <w:szCs w:val="24"/>
        </w:rPr>
        <w:t>U</w:t>
      </w:r>
      <w:r w:rsidR="002E0C4B" w:rsidRPr="0080307A">
        <w:rPr>
          <w:sz w:val="24"/>
          <w:szCs w:val="24"/>
        </w:rPr>
        <w:t>so de la IA</w:t>
      </w:r>
    </w:p>
    <w:p w14:paraId="150CDF50" w14:textId="6319B420" w:rsidR="00947112" w:rsidRPr="000366A9" w:rsidRDefault="000366A9" w:rsidP="000366A9">
      <w:pPr>
        <w:pStyle w:val="Ttulo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Se hizo uso de la IA como se decía en el ejercicio, donde se desarrolló COSTAR de forma autónoma, usando IA generativa como un apoyo para identificar la gobernanza del proyecto y como este se relaciona con SSDF.</w:t>
      </w:r>
    </w:p>
    <w:sectPr w:rsidR="00947112" w:rsidRPr="000366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4410B"/>
    <w:multiLevelType w:val="multilevel"/>
    <w:tmpl w:val="EF8C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7C2C49"/>
    <w:multiLevelType w:val="multilevel"/>
    <w:tmpl w:val="2ED0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A57D6"/>
    <w:multiLevelType w:val="hybridMultilevel"/>
    <w:tmpl w:val="D33A09A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197030"/>
    <w:multiLevelType w:val="multilevel"/>
    <w:tmpl w:val="7584B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112"/>
    <w:rsid w:val="000366A9"/>
    <w:rsid w:val="000958A6"/>
    <w:rsid w:val="001F1D7D"/>
    <w:rsid w:val="002324FB"/>
    <w:rsid w:val="002E0C4B"/>
    <w:rsid w:val="00713A7D"/>
    <w:rsid w:val="0080307A"/>
    <w:rsid w:val="00947112"/>
    <w:rsid w:val="00990C6C"/>
    <w:rsid w:val="00E715A8"/>
    <w:rsid w:val="00EB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308DE"/>
  <w15:chartTrackingRefBased/>
  <w15:docId w15:val="{2CA54EF2-6CB2-4FA2-A84F-C971EB56F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471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47112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947112"/>
    <w:rPr>
      <w:i/>
      <w:iCs/>
    </w:rPr>
  </w:style>
  <w:style w:type="table" w:styleId="Tablaconcuadrcula">
    <w:name w:val="Table Grid"/>
    <w:basedOn w:val="Tablanormal"/>
    <w:uiPriority w:val="39"/>
    <w:rsid w:val="009471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94711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47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947112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styleId="CdigoHTML">
    <w:name w:val="HTML Code"/>
    <w:basedOn w:val="Fuentedeprrafopredeter"/>
    <w:uiPriority w:val="99"/>
    <w:semiHidden/>
    <w:unhideWhenUsed/>
    <w:rsid w:val="002E0C4B"/>
    <w:rPr>
      <w:rFonts w:ascii="Courier New" w:eastAsia="Times New Roman" w:hAnsi="Courier New" w:cs="Courier New"/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8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728</Words>
  <Characters>4009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Giraldo</dc:creator>
  <cp:keywords/>
  <dc:description/>
  <cp:lastModifiedBy>Natalia Giraldo</cp:lastModifiedBy>
  <cp:revision>4</cp:revision>
  <dcterms:created xsi:type="dcterms:W3CDTF">2026-09-07T05:16:00Z</dcterms:created>
  <dcterms:modified xsi:type="dcterms:W3CDTF">2026-09-07T14:50:00Z</dcterms:modified>
</cp:coreProperties>
</file>