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816C" w14:textId="210C53B3" w:rsidR="001F1D7D" w:rsidRDefault="00947112">
      <w:pPr>
        <w:rPr>
          <w:lang w:val="es-ES"/>
        </w:rPr>
      </w:pPr>
      <w:r>
        <w:rPr>
          <w:lang w:val="es-ES"/>
        </w:rPr>
        <w:t>COSTAR</w:t>
      </w:r>
    </w:p>
    <w:p w14:paraId="70F3CD1F" w14:textId="7E4AC482" w:rsidR="00947112" w:rsidRDefault="00947112" w:rsidP="009471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Contexto: Evaluar la gobernanza de ciberseguridad del proyecto de grado de detección de incidentes viales con replanificación dinámica de rutas mediante NIST CSF 2.0</w:t>
      </w:r>
    </w:p>
    <w:p w14:paraId="1561A11F" w14:textId="2DD2E0BA" w:rsidR="00947112" w:rsidRDefault="00947112" w:rsidP="009471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Objetivo: Evaluar la consistencia de la gobernanza de riesgo de ciberseguridad del proyecto frente a las seis categorías de GOVERN.</w:t>
      </w:r>
    </w:p>
    <w:p w14:paraId="0E03FF43" w14:textId="57034FBA" w:rsidR="00947112" w:rsidRDefault="00947112" w:rsidP="009471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Style: Ejecutivo, basado en el contexto y en los documentos </w:t>
      </w:r>
      <w:proofErr w:type="spellStart"/>
      <w:r>
        <w:rPr>
          <w:lang w:val="es-ES"/>
        </w:rPr>
        <w:t>provicionados</w:t>
      </w:r>
      <w:proofErr w:type="spellEnd"/>
      <w:r>
        <w:rPr>
          <w:lang w:val="es-ES"/>
        </w:rPr>
        <w:t xml:space="preserve">. </w:t>
      </w:r>
    </w:p>
    <w:p w14:paraId="35168343" w14:textId="26D6FF1A" w:rsidR="00947112" w:rsidRDefault="00947112" w:rsidP="00947112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Tone</w:t>
      </w:r>
      <w:proofErr w:type="spellEnd"/>
      <w:r>
        <w:rPr>
          <w:lang w:val="es-ES"/>
        </w:rPr>
        <w:t xml:space="preserve">: Neutral, profesional, revisión de gobernanza de riesgo estructurada. </w:t>
      </w:r>
    </w:p>
    <w:p w14:paraId="2105625D" w14:textId="353AB0E3" w:rsidR="00947112" w:rsidRDefault="00947112" w:rsidP="009471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Audiencia: Asesor del proyecto, </w:t>
      </w:r>
      <w:proofErr w:type="spellStart"/>
      <w:r>
        <w:rPr>
          <w:lang w:val="es-ES"/>
        </w:rPr>
        <w:t>stakeholders</w:t>
      </w:r>
      <w:proofErr w:type="spellEnd"/>
      <w:r>
        <w:rPr>
          <w:lang w:val="es-ES"/>
        </w:rPr>
        <w:t xml:space="preserve"> y docente de materia de ciberseguridad.</w:t>
      </w:r>
    </w:p>
    <w:p w14:paraId="27A0B7C1" w14:textId="05CB05AB" w:rsidR="00947112" w:rsidRDefault="00947112" w:rsidP="0094711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Response: Resumen de </w:t>
      </w:r>
      <w:proofErr w:type="spellStart"/>
      <w:r>
        <w:rPr>
          <w:lang w:val="es-ES"/>
        </w:rPr>
        <w:t>Govern</w:t>
      </w:r>
      <w:proofErr w:type="spellEnd"/>
      <w:r>
        <w:rPr>
          <w:lang w:val="es-ES"/>
        </w:rPr>
        <w:t>, evaluación por categorías con estado.</w:t>
      </w:r>
    </w:p>
    <w:p w14:paraId="45D080AF" w14:textId="151D8CA3" w:rsidR="00947112" w:rsidRDefault="00947112" w:rsidP="00947112">
      <w:pPr>
        <w:rPr>
          <w:lang w:val="es-ES"/>
        </w:rPr>
      </w:pPr>
      <w:r>
        <w:rPr>
          <w:lang w:val="es-ES"/>
        </w:rPr>
        <w:t>Caso de uso 1.</w:t>
      </w:r>
    </w:p>
    <w:p w14:paraId="29A90070" w14:textId="3BDC99AF" w:rsidR="00947112" w:rsidRDefault="00947112" w:rsidP="00947112">
      <w:r>
        <w:rPr>
          <w:lang w:val="es-ES"/>
        </w:rPr>
        <w:t xml:space="preserve">El proyecto tiene una gobernanza </w:t>
      </w:r>
      <w:r>
        <w:t xml:space="preserve">de riesgo </w:t>
      </w:r>
      <w:r>
        <w:rPr>
          <w:rStyle w:val="nfasis"/>
        </w:rPr>
        <w:t>más madura de lo esperable para un trabajo académico</w:t>
      </w:r>
      <w:r>
        <w:t xml:space="preserve"> en un punto concreto (RNF-02 fija una tolerancia de riesgo cuantitativa explícita, algo que muchas organizaciones reales no logran), pero carece casi por completo de gobernanza sobre la cadena de suministro de datos/modelos, y la aceptación del riesgo residual más importante (A-10) no está formalizada como decisión de una autoridad identificada.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47112" w14:paraId="1222160A" w14:textId="77777777" w:rsidTr="00947112">
        <w:tc>
          <w:tcPr>
            <w:tcW w:w="2831" w:type="dxa"/>
          </w:tcPr>
          <w:p w14:paraId="7870724A" w14:textId="32F121ED" w:rsidR="00947112" w:rsidRPr="00947112" w:rsidRDefault="00947112" w:rsidP="0094711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Categoría GV</w:t>
            </w:r>
          </w:p>
        </w:tc>
        <w:tc>
          <w:tcPr>
            <w:tcW w:w="2831" w:type="dxa"/>
          </w:tcPr>
          <w:p w14:paraId="0CDD7C5E" w14:textId="1869CE36" w:rsidR="00947112" w:rsidRPr="00947112" w:rsidRDefault="00947112" w:rsidP="0094711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Estado</w:t>
            </w:r>
          </w:p>
        </w:tc>
        <w:tc>
          <w:tcPr>
            <w:tcW w:w="2832" w:type="dxa"/>
          </w:tcPr>
          <w:p w14:paraId="27F8E2D0" w14:textId="523017DB" w:rsidR="00947112" w:rsidRPr="00947112" w:rsidRDefault="00947112" w:rsidP="0094711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Evidencia</w:t>
            </w:r>
          </w:p>
        </w:tc>
      </w:tr>
      <w:tr w:rsidR="00947112" w14:paraId="34A939AA" w14:textId="77777777" w:rsidTr="00947112">
        <w:tc>
          <w:tcPr>
            <w:tcW w:w="2831" w:type="dxa"/>
          </w:tcPr>
          <w:p w14:paraId="40B43441" w14:textId="4E67C0FA" w:rsidR="00947112" w:rsidRPr="00947112" w:rsidRDefault="00947112" w:rsidP="00947112">
            <w:pPr>
              <w:rPr>
                <w:b/>
                <w:bCs/>
                <w:lang w:val="es-ES"/>
              </w:rPr>
            </w:pPr>
            <w:proofErr w:type="gramStart"/>
            <w:r>
              <w:rPr>
                <w:b/>
                <w:bCs/>
                <w:lang w:val="es-ES"/>
              </w:rPr>
              <w:t>GV.OC</w:t>
            </w:r>
            <w:proofErr w:type="gramEnd"/>
            <w:r>
              <w:rPr>
                <w:b/>
                <w:bCs/>
                <w:lang w:val="es-ES"/>
              </w:rPr>
              <w:t xml:space="preserve"> (Contexto organizacional)</w:t>
            </w:r>
          </w:p>
        </w:tc>
        <w:tc>
          <w:tcPr>
            <w:tcW w:w="2831" w:type="dxa"/>
          </w:tcPr>
          <w:p w14:paraId="5C458B69" w14:textId="507A9C46" w:rsidR="00947112" w:rsidRDefault="00947112" w:rsidP="00947112">
            <w:pPr>
              <w:rPr>
                <w:lang w:val="es-ES"/>
              </w:rPr>
            </w:pPr>
            <w:r>
              <w:rPr>
                <w:lang w:val="es-ES"/>
              </w:rPr>
              <w:t>Parcial</w:t>
            </w:r>
          </w:p>
        </w:tc>
        <w:tc>
          <w:tcPr>
            <w:tcW w:w="2832" w:type="dxa"/>
          </w:tcPr>
          <w:p w14:paraId="73022743" w14:textId="1F608177" w:rsidR="00947112" w:rsidRDefault="00947112" w:rsidP="00947112">
            <w:pPr>
              <w:rPr>
                <w:lang w:val="es-ES"/>
              </w:rPr>
            </w:pPr>
            <w:r>
              <w:t>Sección 3.2.1 identifica 3 actores (Investigador, Agente Autónomo, Infraestructura); Sección 1.6 delimita el alcance a simulación pura. Falta declarar explícitamente a quién afectaría un fallo en un eventual despliegue real.</w:t>
            </w:r>
          </w:p>
        </w:tc>
      </w:tr>
      <w:tr w:rsidR="00947112" w14:paraId="250AD7F5" w14:textId="77777777" w:rsidTr="00947112">
        <w:tc>
          <w:tcPr>
            <w:tcW w:w="2831" w:type="dxa"/>
          </w:tcPr>
          <w:p w14:paraId="5B160034" w14:textId="47B18EA5" w:rsidR="00947112" w:rsidRDefault="00947112" w:rsidP="00947112">
            <w:pPr>
              <w:rPr>
                <w:lang w:val="es-ES"/>
              </w:rPr>
            </w:pPr>
            <w:r>
              <w:rPr>
                <w:rStyle w:val="Textoennegrita"/>
              </w:rPr>
              <w:t>GV.RM</w:t>
            </w:r>
            <w:r>
              <w:t xml:space="preserve"> (Estrategia de gestión de riesgo)</w:t>
            </w:r>
          </w:p>
        </w:tc>
        <w:tc>
          <w:tcPr>
            <w:tcW w:w="2831" w:type="dxa"/>
          </w:tcPr>
          <w:p w14:paraId="7612B5BC" w14:textId="7FBA0412" w:rsidR="00947112" w:rsidRDefault="00947112" w:rsidP="00947112">
            <w:pPr>
              <w:rPr>
                <w:lang w:val="es-ES"/>
              </w:rPr>
            </w:pPr>
            <w:r>
              <w:t>Alineado (parcialmente)</w:t>
            </w:r>
          </w:p>
        </w:tc>
        <w:tc>
          <w:tcPr>
            <w:tcW w:w="2832" w:type="dxa"/>
          </w:tcPr>
          <w:p w14:paraId="46D2EE40" w14:textId="7F731106" w:rsidR="00947112" w:rsidRDefault="00947112" w:rsidP="00947112">
            <w:pPr>
              <w:rPr>
                <w:lang w:val="es-ES"/>
              </w:rPr>
            </w:pPr>
            <w:r>
              <w:t>RNF-02 fija tolerancia cuantitativa (falsas alarmas ≤10%); Sección 4.5 trata los errores de detección bajo el marco conceptual de ISO 21448 como limitación de desempeño, no como defecto — es una estrategia de riesgo real. Falta un plan de acción formal para cuando el umbral se incumple (se incumplió: 55.6%).</w:t>
            </w:r>
          </w:p>
        </w:tc>
      </w:tr>
      <w:tr w:rsidR="00947112" w14:paraId="1CAB48F1" w14:textId="77777777" w:rsidTr="00947112">
        <w:tc>
          <w:tcPr>
            <w:tcW w:w="2831" w:type="dxa"/>
          </w:tcPr>
          <w:p w14:paraId="2C0B8927" w14:textId="5A1BFD89" w:rsidR="00947112" w:rsidRDefault="00947112" w:rsidP="00947112">
            <w:pPr>
              <w:rPr>
                <w:lang w:val="es-ES"/>
              </w:rPr>
            </w:pPr>
            <w:proofErr w:type="gramStart"/>
            <w:r>
              <w:rPr>
                <w:rStyle w:val="Textoennegrita"/>
              </w:rPr>
              <w:t>GV.RR</w:t>
            </w:r>
            <w:proofErr w:type="gramEnd"/>
            <w:r>
              <w:t xml:space="preserve"> (Roles, responsabilidades, autoridades)</w:t>
            </w:r>
          </w:p>
        </w:tc>
        <w:tc>
          <w:tcPr>
            <w:tcW w:w="2831" w:type="dxa"/>
          </w:tcPr>
          <w:p w14:paraId="51996B05" w14:textId="01EA5D5D" w:rsidR="00947112" w:rsidRDefault="00947112" w:rsidP="00947112">
            <w:pPr>
              <w:rPr>
                <w:lang w:val="es-ES"/>
              </w:rPr>
            </w:pPr>
            <w:r>
              <w:t>Parcial</w:t>
            </w:r>
          </w:p>
        </w:tc>
        <w:tc>
          <w:tcPr>
            <w:tcW w:w="2832" w:type="dxa"/>
          </w:tcPr>
          <w:p w14:paraId="05AB6E18" w14:textId="0F104BFC" w:rsidR="00947112" w:rsidRDefault="00947112" w:rsidP="00947112">
            <w:pPr>
              <w:rPr>
                <w:lang w:val="es-ES"/>
              </w:rPr>
            </w:pPr>
            <w:r>
              <w:t xml:space="preserve">Los </w:t>
            </w:r>
            <w:proofErr w:type="spellStart"/>
            <w:r>
              <w:t>ADRs</w:t>
            </w:r>
            <w:proofErr w:type="spellEnd"/>
            <w:r>
              <w:t xml:space="preserve"> (Sección 3.2.4.2) documentan decisiones con alternativas consideradas; el asesor funciona como autoridad de aprobación metodológica. No hay declaración explícita de quién tiene autoridad para </w:t>
            </w:r>
            <w:r>
              <w:lastRenderedPageBreak/>
              <w:t>aceptar un riesgo de seguridad residual.</w:t>
            </w:r>
          </w:p>
        </w:tc>
      </w:tr>
      <w:tr w:rsidR="00947112" w14:paraId="53960E99" w14:textId="77777777" w:rsidTr="00947112">
        <w:tc>
          <w:tcPr>
            <w:tcW w:w="2831" w:type="dxa"/>
          </w:tcPr>
          <w:p w14:paraId="7219FE32" w14:textId="2CE0271C" w:rsidR="00947112" w:rsidRDefault="00947112" w:rsidP="00947112">
            <w:pPr>
              <w:rPr>
                <w:lang w:val="es-ES"/>
              </w:rPr>
            </w:pPr>
            <w:r>
              <w:rPr>
                <w:rStyle w:val="Textoennegrita"/>
              </w:rPr>
              <w:lastRenderedPageBreak/>
              <w:t>GV.PO</w:t>
            </w:r>
            <w:r>
              <w:t xml:space="preserve"> (Política)</w:t>
            </w:r>
          </w:p>
        </w:tc>
        <w:tc>
          <w:tcPr>
            <w:tcW w:w="2831" w:type="dxa"/>
          </w:tcPr>
          <w:p w14:paraId="6A39AA4A" w14:textId="2E749AFE" w:rsidR="00947112" w:rsidRDefault="00947112" w:rsidP="00947112">
            <w:pPr>
              <w:rPr>
                <w:lang w:val="es-ES"/>
              </w:rPr>
            </w:pPr>
            <w:r>
              <w:t>Parcial</w:t>
            </w:r>
          </w:p>
        </w:tc>
        <w:tc>
          <w:tcPr>
            <w:tcW w:w="2832" w:type="dxa"/>
          </w:tcPr>
          <w:p w14:paraId="4146C8E7" w14:textId="62C46656" w:rsidR="00947112" w:rsidRDefault="00947112" w:rsidP="00947112">
            <w:pPr>
              <w:rPr>
                <w:lang w:val="es-ES"/>
              </w:rPr>
            </w:pPr>
            <w:r>
              <w:t>Tabla IV declara qué estándares aplican y con qué alcance — funciona como política de facto. No hay una política de seguridad independiente que gobierne decisiones futuras (ej. "todo cambio de flujo de datos exige actualizar la Tabla XV").</w:t>
            </w:r>
          </w:p>
        </w:tc>
      </w:tr>
      <w:tr w:rsidR="00947112" w14:paraId="600AA294" w14:textId="77777777" w:rsidTr="00947112">
        <w:tc>
          <w:tcPr>
            <w:tcW w:w="2831" w:type="dxa"/>
          </w:tcPr>
          <w:p w14:paraId="3EBAE4C4" w14:textId="45B36EED" w:rsidR="00947112" w:rsidRDefault="00947112" w:rsidP="00947112">
            <w:pPr>
              <w:rPr>
                <w:lang w:val="es-ES"/>
              </w:rPr>
            </w:pPr>
            <w:proofErr w:type="gramStart"/>
            <w:r>
              <w:rPr>
                <w:rStyle w:val="Textoennegrita"/>
              </w:rPr>
              <w:t>GV.OV</w:t>
            </w:r>
            <w:proofErr w:type="gramEnd"/>
            <w:r>
              <w:t xml:space="preserve"> (Supervisión)</w:t>
            </w:r>
          </w:p>
        </w:tc>
        <w:tc>
          <w:tcPr>
            <w:tcW w:w="2831" w:type="dxa"/>
          </w:tcPr>
          <w:p w14:paraId="22E6FD3C" w14:textId="512AC249" w:rsidR="00947112" w:rsidRDefault="00947112" w:rsidP="00947112">
            <w:pPr>
              <w:rPr>
                <w:lang w:val="es-ES"/>
              </w:rPr>
            </w:pPr>
            <w:r>
              <w:t>Parcial</w:t>
            </w:r>
          </w:p>
        </w:tc>
        <w:tc>
          <w:tcPr>
            <w:tcW w:w="2832" w:type="dxa"/>
          </w:tcPr>
          <w:p w14:paraId="128DABF5" w14:textId="19D7101C" w:rsidR="00947112" w:rsidRDefault="00947112" w:rsidP="00947112">
            <w:pPr>
              <w:rPr>
                <w:lang w:val="es-ES"/>
              </w:rPr>
            </w:pPr>
            <w:r>
              <w:t>Existe revisión iterativa del documento completo con el asesor. No hay un mecanismo de supervisión específico de seguridad.</w:t>
            </w:r>
          </w:p>
        </w:tc>
      </w:tr>
      <w:tr w:rsidR="00947112" w14:paraId="6798DDBA" w14:textId="77777777" w:rsidTr="00947112">
        <w:tc>
          <w:tcPr>
            <w:tcW w:w="2831" w:type="dxa"/>
          </w:tcPr>
          <w:p w14:paraId="130BFA09" w14:textId="222EF5A9" w:rsidR="00947112" w:rsidRDefault="00947112" w:rsidP="00947112">
            <w:pPr>
              <w:rPr>
                <w:lang w:val="es-ES"/>
              </w:rPr>
            </w:pPr>
            <w:r>
              <w:rPr>
                <w:rStyle w:val="Textoennegrita"/>
              </w:rPr>
              <w:t>GV.SC</w:t>
            </w:r>
            <w:r>
              <w:t xml:space="preserve"> (Cadena de suministro)</w:t>
            </w:r>
          </w:p>
        </w:tc>
        <w:tc>
          <w:tcPr>
            <w:tcW w:w="2831" w:type="dxa"/>
          </w:tcPr>
          <w:p w14:paraId="4D83DED2" w14:textId="3AAB0A15" w:rsidR="00947112" w:rsidRDefault="00947112" w:rsidP="00947112">
            <w:pPr>
              <w:rPr>
                <w:lang w:val="es-ES"/>
              </w:rPr>
            </w:pPr>
            <w:r>
              <w:t>No abordado</w:t>
            </w:r>
          </w:p>
        </w:tc>
        <w:tc>
          <w:tcPr>
            <w:tcW w:w="2832" w:type="dxa"/>
          </w:tcPr>
          <w:p w14:paraId="5707F6EE" w14:textId="727F4767" w:rsidR="00947112" w:rsidRDefault="00947112" w:rsidP="00947112">
            <w:pPr>
              <w:rPr>
                <w:lang w:val="es-ES"/>
              </w:rPr>
            </w:pPr>
            <w:r>
              <w:t xml:space="preserve">Sin tratamiento de la procedencia del </w:t>
            </w:r>
            <w:proofErr w:type="spellStart"/>
            <w:r>
              <w:t>dataset</w:t>
            </w:r>
            <w:proofErr w:type="spellEnd"/>
            <w:r>
              <w:t xml:space="preserve"> ACCIDENT, del </w:t>
            </w:r>
            <w:proofErr w:type="spellStart"/>
            <w:r>
              <w:t>backbone</w:t>
            </w:r>
            <w:proofErr w:type="spellEnd"/>
            <w:r>
              <w:t xml:space="preserve"> EfficientNetB0 </w:t>
            </w:r>
            <w:proofErr w:type="spellStart"/>
            <w:r>
              <w:t>preentrenado</w:t>
            </w:r>
            <w:proofErr w:type="spellEnd"/>
            <w:r>
              <w:t xml:space="preserve">, ni de dependencias de software (CARLA, ONNX </w:t>
            </w:r>
            <w:proofErr w:type="spellStart"/>
            <w:r>
              <w:t>Runtime</w:t>
            </w:r>
            <w:proofErr w:type="spellEnd"/>
            <w:r>
              <w:t>).</w:t>
            </w:r>
          </w:p>
        </w:tc>
      </w:tr>
    </w:tbl>
    <w:p w14:paraId="19009921" w14:textId="31012C4A" w:rsidR="00947112" w:rsidRDefault="00947112" w:rsidP="00947112">
      <w:pPr>
        <w:rPr>
          <w:lang w:val="es-ES"/>
        </w:rPr>
      </w:pPr>
    </w:p>
    <w:p w14:paraId="7FC52AF2" w14:textId="77777777" w:rsidR="00947112" w:rsidRPr="00947112" w:rsidRDefault="00947112" w:rsidP="0094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Rupturas de gobernanza:</w:t>
      </w:r>
    </w:p>
    <w:p w14:paraId="4A0D8BF6" w14:textId="77777777" w:rsidR="00947112" w:rsidRPr="00947112" w:rsidRDefault="00947112" w:rsidP="00947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Política vs. estrategia: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la estrategia de riesgo (RNF-02) es más fuerte que la política que la respalda — hay un número objetivo, pero no un procedimiento escrito de qué hacer cuando se incumple.</w:t>
      </w:r>
    </w:p>
    <w:p w14:paraId="04BF3490" w14:textId="77777777" w:rsidR="00947112" w:rsidRPr="00947112" w:rsidRDefault="00947112" w:rsidP="00947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Apetito de riesgo: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cuantificado y honesto (se declara el incumplimiento del 55.6% en vez de ocultarlo) — este es el punto más fuerte del proyecto.</w:t>
      </w:r>
    </w:p>
    <w:p w14:paraId="365023C6" w14:textId="77777777" w:rsidR="00947112" w:rsidRPr="00947112" w:rsidRDefault="00947112" w:rsidP="00947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Rendición de cuentas: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implícita (autora + asesor) pero no formalizada para decisiones de seguridad específicas.</w:t>
      </w:r>
    </w:p>
    <w:p w14:paraId="3B7923E5" w14:textId="77777777" w:rsidR="00947112" w:rsidRPr="00947112" w:rsidRDefault="00947112" w:rsidP="00947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Supervisión: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genérica, no orientada a seguridad.</w:t>
      </w:r>
    </w:p>
    <w:p w14:paraId="3162CE2D" w14:textId="77777777" w:rsidR="00947112" w:rsidRPr="00947112" w:rsidRDefault="00947112" w:rsidP="00947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Cadena de suministro: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ausente — es la categoría más débil.</w:t>
      </w:r>
    </w:p>
    <w:p w14:paraId="774BAB46" w14:textId="77777777" w:rsidR="00947112" w:rsidRPr="00947112" w:rsidRDefault="00947112" w:rsidP="0094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Implicaciones de riesgo de gobernanza:</w:t>
      </w:r>
    </w:p>
    <w:p w14:paraId="2CF694FE" w14:textId="77777777" w:rsidR="00947112" w:rsidRPr="00947112" w:rsidRDefault="00947112" w:rsidP="00947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Autoridad de decisión: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aceptar A-10 (sin autenticación) como riesgo residual debería ser una decisión trazable del asesor, no una frase en el texto.</w:t>
      </w:r>
    </w:p>
    <w:p w14:paraId="0ABE91CB" w14:textId="77777777" w:rsidR="00947112" w:rsidRPr="00947112" w:rsidRDefault="00947112" w:rsidP="00947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Exposición regulatoria: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mitigada por diseño — el alcance se restringe explícitamente a simulación (Sección 1.6), lo cual es en sí mismo un control de gobernanza correcto.</w:t>
      </w:r>
    </w:p>
    <w:p w14:paraId="4BEBD117" w14:textId="77777777" w:rsidR="00947112" w:rsidRPr="00947112" w:rsidRDefault="00947112" w:rsidP="00947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Supervisión: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no ser específica de seguridad, un cambio futuro en un flujo de datos podría pasar desapercibido para el modelo de amenazas.</w:t>
      </w:r>
    </w:p>
    <w:p w14:paraId="30C14FF9" w14:textId="77777777" w:rsidR="00947112" w:rsidRPr="00947112" w:rsidRDefault="00947112" w:rsidP="00947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Aceptación de riesgo: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patrón "se acepta como riesgo residual" aparece más de una vez en la Tabla XV (A-10, en menor medida A-01/A-05) sin una única instancia formal que las agrupe.</w:t>
      </w:r>
    </w:p>
    <w:p w14:paraId="60369266" w14:textId="77777777" w:rsidR="00947112" w:rsidRPr="00947112" w:rsidRDefault="00947112" w:rsidP="0094711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947112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lastRenderedPageBreak/>
        <w:t>SSDF — cómo se opera lo que la gobernanza reveló (proceso y producto)</w:t>
      </w:r>
    </w:p>
    <w:p w14:paraId="289B4326" w14:textId="3BEBDECB" w:rsidR="00947112" w:rsidRDefault="00947112" w:rsidP="009471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gobernanza dice </w:t>
      </w:r>
      <w:r w:rsidRPr="0094711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qué se decide y quién decide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el SSDF dice </w:t>
      </w:r>
      <w:r w:rsidRPr="0094711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cómo se construye con menos vulnerabilidades</w:t>
      </w:r>
      <w:r w:rsidRPr="00947112">
        <w:rPr>
          <w:rFonts w:ascii="Times New Roman" w:eastAsia="Times New Roman" w:hAnsi="Times New Roman" w:cs="Times New Roman"/>
          <w:sz w:val="24"/>
          <w:szCs w:val="24"/>
          <w:lang w:eastAsia="es-419"/>
        </w:rPr>
        <w:t>. Priorizando lo que conecta directamente con los vacíos de GV: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051"/>
        <w:gridCol w:w="1962"/>
        <w:gridCol w:w="2113"/>
        <w:gridCol w:w="2008"/>
      </w:tblGrid>
      <w:tr w:rsidR="002E0C4B" w14:paraId="5D5C67C8" w14:textId="77777777" w:rsidTr="002E0C4B">
        <w:tc>
          <w:tcPr>
            <w:tcW w:w="2123" w:type="dxa"/>
          </w:tcPr>
          <w:p w14:paraId="1B66C63E" w14:textId="57835DFB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SSDF</w:t>
            </w:r>
          </w:p>
        </w:tc>
        <w:tc>
          <w:tcPr>
            <w:tcW w:w="2123" w:type="dxa"/>
          </w:tcPr>
          <w:p w14:paraId="50CFE627" w14:textId="38B4BF4C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Vacio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de GV</w:t>
            </w:r>
          </w:p>
        </w:tc>
        <w:tc>
          <w:tcPr>
            <w:tcW w:w="2124" w:type="dxa"/>
          </w:tcPr>
          <w:p w14:paraId="52BD57C2" w14:textId="6F50A7FA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Recomendacion</w:t>
            </w:r>
            <w:proofErr w:type="spellEnd"/>
          </w:p>
        </w:tc>
        <w:tc>
          <w:tcPr>
            <w:tcW w:w="2124" w:type="dxa"/>
          </w:tcPr>
          <w:p w14:paraId="44DC9567" w14:textId="0FEE2C86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Tipo de control</w:t>
            </w:r>
          </w:p>
        </w:tc>
      </w:tr>
      <w:tr w:rsidR="002E0C4B" w14:paraId="4FA02C31" w14:textId="77777777" w:rsidTr="002E0C4B">
        <w:tc>
          <w:tcPr>
            <w:tcW w:w="2123" w:type="dxa"/>
          </w:tcPr>
          <w:p w14:paraId="3D065BEB" w14:textId="2BD8A98D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Style w:val="Textoennegrita"/>
              </w:rPr>
              <w:t>PO.1</w:t>
            </w:r>
            <w:r>
              <w:t xml:space="preserve"> (requisitos de seguridad tempranos)</w:t>
            </w:r>
          </w:p>
        </w:tc>
        <w:tc>
          <w:tcPr>
            <w:tcW w:w="2123" w:type="dxa"/>
          </w:tcPr>
          <w:p w14:paraId="38010E4E" w14:textId="13D4C257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GV.PO</w:t>
            </w:r>
          </w:p>
        </w:tc>
        <w:tc>
          <w:tcPr>
            <w:tcW w:w="2124" w:type="dxa"/>
          </w:tcPr>
          <w:p w14:paraId="1B8E8833" w14:textId="22C38018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Formalizar la Tabla XV como "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done" de seguridad en cada iteración </w:t>
            </w:r>
            <w:proofErr w:type="spellStart"/>
            <w:r>
              <w:t>Crystal</w:t>
            </w:r>
            <w:proofErr w:type="spellEnd"/>
            <w:r>
              <w:t xml:space="preserve"> Clear, no solo un paso de diseño inicial</w:t>
            </w:r>
          </w:p>
        </w:tc>
        <w:tc>
          <w:tcPr>
            <w:tcW w:w="2124" w:type="dxa"/>
          </w:tcPr>
          <w:p w14:paraId="460BD967" w14:textId="5249F8CE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Organizacional</w:t>
            </w:r>
          </w:p>
        </w:tc>
      </w:tr>
      <w:tr w:rsidR="002E0C4B" w14:paraId="17F90CB5" w14:textId="77777777" w:rsidTr="002E0C4B">
        <w:tc>
          <w:tcPr>
            <w:tcW w:w="2123" w:type="dxa"/>
          </w:tcPr>
          <w:p w14:paraId="4ECC4398" w14:textId="09DC8AC0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Style w:val="Textoennegrita"/>
              </w:rPr>
              <w:t>PS.2</w:t>
            </w:r>
            <w:r>
              <w:t xml:space="preserve"> (procedencia de artefactos)</w:t>
            </w:r>
          </w:p>
        </w:tc>
        <w:tc>
          <w:tcPr>
            <w:tcW w:w="2123" w:type="dxa"/>
          </w:tcPr>
          <w:p w14:paraId="0D49F85C" w14:textId="541C72A0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GV.SC</w:t>
            </w:r>
          </w:p>
        </w:tc>
        <w:tc>
          <w:tcPr>
            <w:tcW w:w="2124" w:type="dxa"/>
          </w:tcPr>
          <w:p w14:paraId="69C9A89A" w14:textId="6951450E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 xml:space="preserve">Versionar cada </w:t>
            </w:r>
            <w:r>
              <w:rPr>
                <w:rStyle w:val="CdigoHTML"/>
                <w:rFonts w:eastAsiaTheme="minorHAnsi"/>
              </w:rPr>
              <w:t>.h5</w:t>
            </w:r>
            <w:r>
              <w:t xml:space="preserve"> con hash de </w:t>
            </w:r>
            <w:proofErr w:type="spellStart"/>
            <w:r>
              <w:t>commit</w:t>
            </w:r>
            <w:proofErr w:type="spellEnd"/>
            <w:r>
              <w:t xml:space="preserve"> y partición de datos; registrar procedencia/licencia del </w:t>
            </w:r>
            <w:proofErr w:type="spellStart"/>
            <w:r>
              <w:t>dataset</w:t>
            </w:r>
            <w:proofErr w:type="spellEnd"/>
            <w:r>
              <w:t xml:space="preserve"> ACCIDENT y del </w:t>
            </w:r>
            <w:proofErr w:type="spellStart"/>
            <w:r>
              <w:t>backbone</w:t>
            </w:r>
            <w:proofErr w:type="spellEnd"/>
          </w:p>
        </w:tc>
        <w:tc>
          <w:tcPr>
            <w:tcW w:w="2124" w:type="dxa"/>
          </w:tcPr>
          <w:p w14:paraId="78560B36" w14:textId="1AB84F64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Tecnológico</w:t>
            </w:r>
          </w:p>
        </w:tc>
      </w:tr>
      <w:tr w:rsidR="002E0C4B" w14:paraId="2287050D" w14:textId="77777777" w:rsidTr="002E0C4B">
        <w:tc>
          <w:tcPr>
            <w:tcW w:w="2123" w:type="dxa"/>
          </w:tcPr>
          <w:p w14:paraId="4869396B" w14:textId="02C0DD59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Style w:val="Textoennegrita"/>
              </w:rPr>
              <w:t>PW.7/PW.8</w:t>
            </w:r>
            <w:r>
              <w:t xml:space="preserve"> (revisión y prueba)</w:t>
            </w:r>
          </w:p>
        </w:tc>
        <w:tc>
          <w:tcPr>
            <w:tcW w:w="2123" w:type="dxa"/>
          </w:tcPr>
          <w:p w14:paraId="07CCAA85" w14:textId="550CB000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gramStart"/>
            <w:r>
              <w:t>GV.RR</w:t>
            </w:r>
            <w:proofErr w:type="gramEnd"/>
            <w:r>
              <w:t xml:space="preserve"> (autoridad implícita sin verificación)</w:t>
            </w:r>
          </w:p>
        </w:tc>
        <w:tc>
          <w:tcPr>
            <w:tcW w:w="2124" w:type="dxa"/>
          </w:tcPr>
          <w:p w14:paraId="51B67254" w14:textId="047256E7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 xml:space="preserve">Prueba de regresión para A-08 (concurrencia); revisión de código como parte del </w:t>
            </w:r>
            <w:proofErr w:type="spellStart"/>
            <w:r>
              <w:t>checklist</w:t>
            </w:r>
            <w:proofErr w:type="spellEnd"/>
            <w:r>
              <w:t>, no solo documentación</w:t>
            </w:r>
          </w:p>
        </w:tc>
        <w:tc>
          <w:tcPr>
            <w:tcW w:w="2124" w:type="dxa"/>
          </w:tcPr>
          <w:p w14:paraId="5F4CDB54" w14:textId="442661E5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Tecnológico</w:t>
            </w:r>
          </w:p>
        </w:tc>
      </w:tr>
      <w:tr w:rsidR="002E0C4B" w14:paraId="21130D24" w14:textId="77777777" w:rsidTr="002E0C4B">
        <w:tc>
          <w:tcPr>
            <w:tcW w:w="2123" w:type="dxa"/>
          </w:tcPr>
          <w:p w14:paraId="30D98DE7" w14:textId="154826D6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Style w:val="Textoennegrita"/>
              </w:rPr>
              <w:t>RV.1</w:t>
            </w:r>
            <w:r>
              <w:t xml:space="preserve"> (identificación continua de vulnerabilidades)</w:t>
            </w:r>
          </w:p>
        </w:tc>
        <w:tc>
          <w:tcPr>
            <w:tcW w:w="2123" w:type="dxa"/>
          </w:tcPr>
          <w:p w14:paraId="2525AA04" w14:textId="479434EB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gramStart"/>
            <w:r>
              <w:t>GV.OV</w:t>
            </w:r>
            <w:proofErr w:type="gramEnd"/>
          </w:p>
        </w:tc>
        <w:tc>
          <w:tcPr>
            <w:tcW w:w="2124" w:type="dxa"/>
          </w:tcPr>
          <w:p w14:paraId="30F81FCA" w14:textId="6139BB02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Revisar la Tabla XV cada vez que se modifica un flujo de datos, no una sola vez al final</w:t>
            </w:r>
          </w:p>
        </w:tc>
        <w:tc>
          <w:tcPr>
            <w:tcW w:w="2124" w:type="dxa"/>
          </w:tcPr>
          <w:p w14:paraId="39E85509" w14:textId="5A5E4E4A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Organizacional</w:t>
            </w:r>
          </w:p>
        </w:tc>
      </w:tr>
      <w:tr w:rsidR="002E0C4B" w14:paraId="78ABD4A0" w14:textId="77777777" w:rsidTr="002E0C4B">
        <w:tc>
          <w:tcPr>
            <w:tcW w:w="2123" w:type="dxa"/>
          </w:tcPr>
          <w:p w14:paraId="72EBF3DE" w14:textId="6607FE7E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Style w:val="Textoennegrita"/>
              </w:rPr>
              <w:t>RV.2/RV.3</w:t>
            </w:r>
            <w:r>
              <w:t xml:space="preserve"> (gestión y causa raíz)</w:t>
            </w:r>
          </w:p>
        </w:tc>
        <w:tc>
          <w:tcPr>
            <w:tcW w:w="2123" w:type="dxa"/>
          </w:tcPr>
          <w:p w14:paraId="60F78B06" w14:textId="46D846DB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GV.RM (plan de acción cuando se incumple el umbral)</w:t>
            </w:r>
          </w:p>
        </w:tc>
        <w:tc>
          <w:tcPr>
            <w:tcW w:w="2124" w:type="dxa"/>
          </w:tcPr>
          <w:p w14:paraId="139D5D4B" w14:textId="7EA8E793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Documentar plan de remediación con responsable y fecha para A-06 y A-08</w:t>
            </w:r>
          </w:p>
        </w:tc>
        <w:tc>
          <w:tcPr>
            <w:tcW w:w="2124" w:type="dxa"/>
          </w:tcPr>
          <w:p w14:paraId="1710C03E" w14:textId="40C7CADA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Organizacional</w:t>
            </w:r>
          </w:p>
        </w:tc>
      </w:tr>
      <w:tr w:rsidR="002E0C4B" w14:paraId="2ECC32A4" w14:textId="77777777" w:rsidTr="002E0C4B">
        <w:tc>
          <w:tcPr>
            <w:tcW w:w="2123" w:type="dxa"/>
          </w:tcPr>
          <w:p w14:paraId="7308F09D" w14:textId="3E71FBEE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Style w:val="Textoennegrita"/>
              </w:rPr>
              <w:t>PW.4</w:t>
            </w:r>
            <w:r>
              <w:t xml:space="preserve"> (reutilización de componentes seguros)</w:t>
            </w:r>
          </w:p>
        </w:tc>
        <w:tc>
          <w:tcPr>
            <w:tcW w:w="2123" w:type="dxa"/>
          </w:tcPr>
          <w:p w14:paraId="3903A5DB" w14:textId="7F5C33AF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 xml:space="preserve">Producto, sin vacío GV </w:t>
            </w:r>
            <w:proofErr w:type="gramStart"/>
            <w:r>
              <w:t>directo</w:t>
            </w:r>
            <w:proofErr w:type="gramEnd"/>
            <w:r>
              <w:t xml:space="preserve"> pero cierra superficie de ataque</w:t>
            </w:r>
          </w:p>
        </w:tc>
        <w:tc>
          <w:tcPr>
            <w:tcW w:w="2124" w:type="dxa"/>
          </w:tcPr>
          <w:p w14:paraId="5BFE8EE9" w14:textId="2009CD6D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>
              <w:rPr>
                <w:rStyle w:val="CdigoHTML"/>
                <w:rFonts w:eastAsiaTheme="minorHAnsi"/>
              </w:rPr>
              <w:t>pip-audit</w:t>
            </w:r>
            <w:proofErr w:type="spellEnd"/>
            <w:r>
              <w:t>/</w:t>
            </w:r>
            <w:proofErr w:type="spellStart"/>
            <w:r>
              <w:rPr>
                <w:rStyle w:val="CdigoHTML"/>
                <w:rFonts w:eastAsiaTheme="minorHAnsi"/>
              </w:rPr>
              <w:t>npm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audit</w:t>
            </w:r>
            <w:proofErr w:type="spellEnd"/>
            <w:r>
              <w:t xml:space="preserve"> en el flujo de construcción</w:t>
            </w:r>
          </w:p>
        </w:tc>
        <w:tc>
          <w:tcPr>
            <w:tcW w:w="2124" w:type="dxa"/>
          </w:tcPr>
          <w:p w14:paraId="4FBD5E01" w14:textId="67A9A87E" w:rsidR="002E0C4B" w:rsidRDefault="002E0C4B" w:rsidP="009471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t>Tecnológico</w:t>
            </w:r>
          </w:p>
        </w:tc>
      </w:tr>
    </w:tbl>
    <w:p w14:paraId="62CEF1A7" w14:textId="77777777" w:rsidR="002E0C4B" w:rsidRPr="00947112" w:rsidRDefault="002E0C4B" w:rsidP="009471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2FDCEC1" w14:textId="77777777" w:rsidR="002E0C4B" w:rsidRDefault="002E0C4B" w:rsidP="002E0C4B">
      <w:pPr>
        <w:pStyle w:val="Ttulo3"/>
      </w:pPr>
      <w:r>
        <w:t>Respuesta directa: ¿cómo robustecer la seguridad del proceso y del producto?</w:t>
      </w:r>
    </w:p>
    <w:p w14:paraId="4DF1A132" w14:textId="77777777" w:rsidR="002E0C4B" w:rsidRDefault="002E0C4B" w:rsidP="002E0C4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Formaliza la aceptación de A-10</w:t>
      </w:r>
      <w:r>
        <w:t xml:space="preserve"> como decisión firmada del asesor (cierra </w:t>
      </w:r>
      <w:proofErr w:type="gramStart"/>
      <w:r>
        <w:t>GV.RR</w:t>
      </w:r>
      <w:proofErr w:type="gramEnd"/>
      <w:r>
        <w:t xml:space="preserve"> + GV.OV con esfuerzo mínimo).</w:t>
      </w:r>
    </w:p>
    <w:p w14:paraId="49C1E842" w14:textId="77777777" w:rsidR="002E0C4B" w:rsidRDefault="002E0C4B" w:rsidP="002E0C4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Declara la procedencia del </w:t>
      </w:r>
      <w:proofErr w:type="spellStart"/>
      <w:r>
        <w:rPr>
          <w:rStyle w:val="Textoennegrita"/>
        </w:rPr>
        <w:t>dataset</w:t>
      </w:r>
      <w:proofErr w:type="spellEnd"/>
      <w:r>
        <w:rPr>
          <w:rStyle w:val="Textoennegrita"/>
        </w:rPr>
        <w:t xml:space="preserve"> y del </w:t>
      </w:r>
      <w:proofErr w:type="spellStart"/>
      <w:r>
        <w:rPr>
          <w:rStyle w:val="Textoennegrita"/>
        </w:rPr>
        <w:t>backbone</w:t>
      </w:r>
      <w:proofErr w:type="spellEnd"/>
      <w:r>
        <w:t xml:space="preserve"> en una línea de la Tabla IV o como trabajo futuro (cierra GV.SC, el vacío más claro).</w:t>
      </w:r>
    </w:p>
    <w:p w14:paraId="2EF817CD" w14:textId="77777777" w:rsidR="002E0C4B" w:rsidRDefault="002E0C4B" w:rsidP="002E0C4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Convierte el modelado STRIDE en un ritual repetible</w:t>
      </w:r>
      <w:r>
        <w:t xml:space="preserve">, no un evento único (cierra </w:t>
      </w:r>
      <w:proofErr w:type="gramStart"/>
      <w:r>
        <w:t>GV.OV</w:t>
      </w:r>
      <w:proofErr w:type="gramEnd"/>
      <w:r>
        <w:t xml:space="preserve"> y opera RV.1).</w:t>
      </w:r>
    </w:p>
    <w:p w14:paraId="7EB5D58E" w14:textId="77777777" w:rsidR="002E0C4B" w:rsidRDefault="002E0C4B" w:rsidP="002E0C4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Cierra los dos defectos abiertos con evidencia de prueba</w:t>
      </w:r>
      <w:r>
        <w:t>, no solo con texto (A-06 con contador visible, A-08 con caso de prueba de concurrencia) — esto es PW.7/PW.8 aplicado.</w:t>
      </w:r>
    </w:p>
    <w:p w14:paraId="20CEB0BC" w14:textId="77777777" w:rsidR="002E0C4B" w:rsidRDefault="002E0C4B" w:rsidP="002E0C4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Añade escaneo de dependencias</w:t>
      </w:r>
      <w:r>
        <w:t xml:space="preserve"> al proceso de construcción — la mejora de menor esfuerzo y mayor retorno.</w:t>
      </w:r>
    </w:p>
    <w:p w14:paraId="52BBD6B7" w14:textId="77777777" w:rsidR="002E0C4B" w:rsidRDefault="002E0C4B" w:rsidP="002E0C4B">
      <w:pPr>
        <w:pStyle w:val="Ttulo3"/>
      </w:pPr>
      <w:r>
        <w:t>Sobre el uso de la IA</w:t>
      </w:r>
    </w:p>
    <w:p w14:paraId="0B2909DE" w14:textId="77777777" w:rsidR="002E0C4B" w:rsidRDefault="002E0C4B" w:rsidP="002E0C4B">
      <w:pPr>
        <w:pStyle w:val="NormalWeb"/>
      </w:pPr>
      <w:r>
        <w:t>Corregí el enfoque después de que señalaras que el enunciado real pedía el Caso de Uso 1 específicamente — esto es exactamente el tipo de revisión que la guía NIST recomienda ("AI-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be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qualified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"): la primera versión no estaba mal fundamentada, pero no respondía al caso de uso correcto. Cada elemento de la tabla GV está anclado a una sección o tabla real de tu documento (Tabla IV, XV, XXVIII, </w:t>
      </w:r>
      <w:proofErr w:type="spellStart"/>
      <w:r>
        <w:t>ADRs</w:t>
      </w:r>
      <w:proofErr w:type="spellEnd"/>
      <w:r>
        <w:t>, RNF-02); ninguno fue inventado. Esto sí debe pasar por tu revisión y la de Carlos Mario antes de tratarse como definitivo.</w:t>
      </w:r>
    </w:p>
    <w:p w14:paraId="150CDF50" w14:textId="77777777" w:rsidR="00947112" w:rsidRPr="00947112" w:rsidRDefault="00947112" w:rsidP="00947112"/>
    <w:sectPr w:rsidR="00947112" w:rsidRPr="00947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4410B"/>
    <w:multiLevelType w:val="multilevel"/>
    <w:tmpl w:val="EF8C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C2C49"/>
    <w:multiLevelType w:val="multilevel"/>
    <w:tmpl w:val="2ED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A57D6"/>
    <w:multiLevelType w:val="hybridMultilevel"/>
    <w:tmpl w:val="D33A09A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97030"/>
    <w:multiLevelType w:val="multilevel"/>
    <w:tmpl w:val="7584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12"/>
    <w:rsid w:val="001F1D7D"/>
    <w:rsid w:val="002E0C4B"/>
    <w:rsid w:val="0094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08DE"/>
  <w15:chartTrackingRefBased/>
  <w15:docId w15:val="{2CA54EF2-6CB2-4FA2-A84F-C971EB56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471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7112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947112"/>
    <w:rPr>
      <w:i/>
      <w:iCs/>
    </w:rPr>
  </w:style>
  <w:style w:type="table" w:styleId="Tablaconcuadrcula">
    <w:name w:val="Table Grid"/>
    <w:basedOn w:val="Tablanormal"/>
    <w:uiPriority w:val="39"/>
    <w:rsid w:val="00947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471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947112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2E0C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1013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Giraldo</dc:creator>
  <cp:keywords/>
  <dc:description/>
  <cp:lastModifiedBy>Natalia Giraldo</cp:lastModifiedBy>
  <cp:revision>1</cp:revision>
  <dcterms:created xsi:type="dcterms:W3CDTF">2026-09-07T04:11:00Z</dcterms:created>
  <dcterms:modified xsi:type="dcterms:W3CDTF">2026-09-07T04:28:00Z</dcterms:modified>
</cp:coreProperties>
</file>