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8FD" w:rsidRPr="000268FD" w:rsidRDefault="000268FD" w:rsidP="00026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Dokumentacja Techniczna Projektu: System Predykcji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Cen na Giełdach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Przedmiot: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Metody Sztucznej Inteligencji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Temat: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Zastosowanie architektury hybrydowej (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+ LSTM) w detekcji anomalii i prognozowaniu notowań giełdowych.</w:t>
      </w:r>
    </w:p>
    <w:p w:rsid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Technologia: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Python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TensorFlow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Keras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Streamlit</w:t>
      </w:r>
      <w:proofErr w:type="spellEnd"/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Autorzy:  Natalia Klimaszewska, Roksana Żyłka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1. Cel i Zakres Projektu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Celem projektu jest opracowanie i implementacja systemu informatycznego służącego do prognozowania wa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rtości instrumentów finansowych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oparciu o metody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Learning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Głównym problemem badawczym jest wrażliwość klasycznych modeli predykcyjnych na szum informacyjny i anomalie rynkowe (tzw. "czarne łabędzie", nagłe krachy). W celu mityzacji tego problemu zastosowano podejście hybrydowe, składające się z dwóch modułów:</w:t>
      </w:r>
    </w:p>
    <w:p w:rsidR="000268FD" w:rsidRPr="000268FD" w:rsidRDefault="000268FD" w:rsidP="00026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Moduł nienadzorowany (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Odpowiedzialny za ekstrakcję cech i filtrację anomalii.</w:t>
      </w:r>
    </w:p>
    <w:p w:rsidR="000268FD" w:rsidRPr="000268FD" w:rsidRDefault="000268FD" w:rsidP="00026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Moduł nadzorowany (LSTM):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Odpowiedzialny za właściwą predykcję na podstawie oczyszczonych danych.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2. Podstawy Teoretyczne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2.1. 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(Sieć 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Autoasocjacyjna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projekcie wykorzystano symetryczną sieć typu </w:t>
      </w:r>
      <w:proofErr w:type="spellStart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Feed-Forward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warstwą ukrytą o zredukowanej liczbie neuronów (tzw. </w:t>
      </w:r>
      <w:proofErr w:type="spellStart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bottleneck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). Celem sieci jest aproks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ymacja funkcji tożsamościowej.</w:t>
      </w:r>
    </w:p>
    <w:p w:rsidR="000268FD" w:rsidRPr="000268FD" w:rsidRDefault="000268FD" w:rsidP="00026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Zasada działania: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Poprzez wymuszenie kompresji danych w warstwie ukrytej, sieć uczy się generalizacji wzorców typowych dla danego zbioru danych.</w:t>
      </w:r>
    </w:p>
    <w:p w:rsidR="000268FD" w:rsidRPr="000268FD" w:rsidRDefault="000268FD" w:rsidP="00026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Detekcja anomalii: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Dane nietypowe (anomalie) charakteryzują się inną strukturą statystyczną niż dane treningowe. Podczas próby ich rekonstrukcji sieć generuje wysoki błąd odwzorowania (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Mean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Squared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Error - MSE). Wartość błędu rekonstrukcji służy jako metryka decyzyjna do klasyfikacji punktu jako anomalii.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2.2. Sieć LSTM (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Long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Short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-Term Memory)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 prognozowania szeregu czasowego wykorzystano rekurencyjną sieć neuronową (RNN) typu LSTM. Architektura ta rozwiązuje problem zanikającego gradientu występujący w 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klasycznych sieciach RNN, co pozwala na efektywne uczenie się długoterminowych zależności w danych (tzw. </w:t>
      </w:r>
      <w:proofErr w:type="spellStart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long</w:t>
      </w:r>
      <w:proofErr w:type="spellEnd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-term </w:t>
      </w:r>
      <w:proofErr w:type="spellStart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dependencies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3. Architektura Systemu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re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alizuje przetwarzanie potokowe 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składające się z następujących etapów:</w:t>
      </w:r>
    </w:p>
    <w:p w:rsidR="000268FD" w:rsidRPr="000268FD" w:rsidRDefault="000268FD" w:rsidP="00026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Akwizycja Danych: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Pobranie historycznych danych OHLC (Open, High,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Low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, Close) z serwisu Yahoo Finance.</w:t>
      </w:r>
    </w:p>
    <w:p w:rsidR="000268FD" w:rsidRPr="000268FD" w:rsidRDefault="000268FD" w:rsidP="00026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Preprocessing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Ekstrakcja ceny zamknięcia (</w:t>
      </w:r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Close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Normalizacja Min-Max do przedziału $[0, 1]$.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Okienkowanie (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Sliding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Window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) – transformacja szeregu do postaci sekwencji o długości $N=40$.</w:t>
      </w:r>
    </w:p>
    <w:p w:rsidR="000268FD" w:rsidRPr="000268FD" w:rsidRDefault="000268FD" w:rsidP="00026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Filtracja (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Trening modelu na surowych danych.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Wyznaczenie progu odcięcia na podstawie 95.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centyla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błędu rekonstrukcji (MAE).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Identyfikacja i imputacja anomalii (zastąpienie wartością z kroku $t-1$).</w:t>
      </w:r>
    </w:p>
    <w:p w:rsidR="000268FD" w:rsidRPr="000268FD" w:rsidRDefault="000268FD" w:rsidP="00026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Predykcja (LSTM):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Trening modelu na danych oczyszczonych.</w:t>
      </w:r>
    </w:p>
    <w:p w:rsidR="000268FD" w:rsidRPr="000268FD" w:rsidRDefault="000268FD" w:rsidP="00026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Generowanie prognozy iteracyjnej (autoregresyjnej) na zadaną liczbę dni.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4. Specyfikacja Implementacyjna Modeli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4.1. Model 1: 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(Detektor Anomalii)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5514"/>
      </w:tblGrid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Wartość / Opis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Typ sieci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Dense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(Pełna połączeniowa), Symetryczna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Warstwa wejściowa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40 neuronów (odpowiada </w:t>
            </w:r>
            <w:r w:rsidRPr="000268FD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WINDOW_SIZE</w:t>
            </w: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Enkoder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1D2B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Warstwa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Dense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(32 neurony, aktywacja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ReLU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) </w:t>
            </w:r>
            <w:r w:rsidR="001D2B81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</w: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Warstwa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Bottleneck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(16 neuronów, aktywacja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ReLU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Dekoder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1D2B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Warstwa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Dense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(32 neurony, aktywacja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ReLU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) </w:t>
            </w:r>
            <w:r w:rsidR="001D2B81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</w: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Warstwa Wyjściowa (40 neuronów, aktywacja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Sigmoid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Funkcja Straty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Mean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Squared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Error (MSE)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Liczba epok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40</w:t>
            </w:r>
          </w:p>
        </w:tc>
      </w:tr>
    </w:tbl>
    <w:p w:rsidR="000268FD" w:rsidRPr="000268FD" w:rsidRDefault="000268FD" w:rsidP="001D2B8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 wyjściu zastosowano funkcję </w:t>
      </w: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Sigmoid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, ponieważ dane wejściowe są znorm</w:t>
      </w:r>
      <w:r w:rsidR="001D2B81">
        <w:rPr>
          <w:rFonts w:ascii="Times New Roman" w:eastAsia="Times New Roman" w:hAnsi="Times New Roman" w:cs="Times New Roman"/>
          <w:sz w:val="24"/>
          <w:szCs w:val="24"/>
          <w:lang w:eastAsia="pl-PL"/>
        </w:rPr>
        <w:t>alizowane do przedziału [0, 1]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Funkcja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ReLU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warstwach ukrytych zapobiega problemowi zanikającego gradientu i przyspiesza konwergencję.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4.2. Model 2: LSTM (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Predyktor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521"/>
      </w:tblGrid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Wartość / Opis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Typ sieci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Recurrent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Neural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Network (LSTM)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Kształt wejścia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(</w:t>
            </w:r>
            <w:proofErr w:type="spellStart"/>
            <w:r w:rsidRPr="000268FD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Batch_Size</w:t>
            </w:r>
            <w:proofErr w:type="spellEnd"/>
            <w:r w:rsidRPr="000268FD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, 40, 1)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lastRenderedPageBreak/>
              <w:t>Warstwy ukryte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 warstwa LSTM, 50 jednostek (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units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), aktywacja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ReLU</w:t>
            </w:r>
            <w:proofErr w:type="spellEnd"/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Warstwa wyjściowa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Dense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(1 neuron) – regresja liniowa</w:t>
            </w:r>
          </w:p>
        </w:tc>
      </w:tr>
      <w:tr w:rsidR="000268FD" w:rsidRPr="000268FD" w:rsidTr="00026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26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Funkcja Straty</w:t>
            </w:r>
          </w:p>
        </w:tc>
        <w:tc>
          <w:tcPr>
            <w:tcW w:w="0" w:type="auto"/>
            <w:vAlign w:val="center"/>
            <w:hideMark/>
          </w:tcPr>
          <w:p w:rsidR="000268FD" w:rsidRPr="000268FD" w:rsidRDefault="000268FD" w:rsidP="00026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Mean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Squared</w:t>
            </w:r>
            <w:proofErr w:type="spellEnd"/>
            <w:r w:rsidRPr="000268FD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Error (MSE)</w:t>
            </w:r>
          </w:p>
        </w:tc>
      </w:tr>
    </w:tbl>
    <w:p w:rsidR="000268FD" w:rsidRPr="000268FD" w:rsidRDefault="000268FD" w:rsidP="001D2B8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Zastosowano predykcję kroczącą (</w:t>
      </w:r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rolling </w:t>
      </w:r>
      <w:proofErr w:type="spellStart"/>
      <w:r w:rsidRPr="000268F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forecast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). Wyjście modelu dla chwili $t+1$ jest dołączane do wektora wejściowego w celu wygenerowania predykcji dla chwili $t+2$.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5. Wymagania Sprzętowe i Programowe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5.1. Środowisko uruchomieniowe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Projekt został zaimplementowany w języku </w:t>
      </w:r>
      <w:proofErr w:type="spellStart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Python</w:t>
      </w:r>
      <w:proofErr w:type="spellEnd"/>
      <w:r w:rsidRPr="000268F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3.8+</w:t>
      </w: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. Do działania wymagane są następujące biblioteki (zależności):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tensorflow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Biblioteka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backendowa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budowy i treningu sieci neuronowych.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scikit-learn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Moduł </w:t>
      </w: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MinMaxScaler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normalizacji danych.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yfinance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: Interfejs API do pobierania danych giełdowych.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pandas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/ </w:t>
      </w: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numpy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: Manipulacja strukturami danych i obliczenia numeryczne.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streamlit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: Framework do budowy interfejsu graficznego (GUI).</w:t>
      </w:r>
    </w:p>
    <w:p w:rsidR="000268FD" w:rsidRPr="000268FD" w:rsidRDefault="000268FD" w:rsidP="00026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matplotlib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: Wizualizacja wyników.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5.2. Instrukcja uruchomienia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W celu uruchomienia aplikacji w środowisku lokalnym należy wykonać polecenie w terminalu:</w:t>
      </w:r>
    </w:p>
    <w:p w:rsidR="000268FD" w:rsidRPr="000268FD" w:rsidRDefault="000268FD" w:rsidP="001D2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>streamlit</w:t>
      </w:r>
      <w:proofErr w:type="spellEnd"/>
      <w:r w:rsidRPr="000268F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run app.py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 Wyniki i Ewaluacja</w:t>
      </w:r>
    </w:p>
    <w:p w:rsidR="000268FD" w:rsidRPr="000268FD" w:rsidRDefault="000268FD" w:rsidP="00026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prezentuje wyniki w formie graficznej, nanosząc na wykres:</w:t>
      </w:r>
    </w:p>
    <w:p w:rsidR="000268FD" w:rsidRPr="000268FD" w:rsidRDefault="000268FD" w:rsidP="00026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Rzeczywisty przebieg kursu (dane historyczne).</w:t>
      </w:r>
    </w:p>
    <w:p w:rsidR="000268FD" w:rsidRPr="000268FD" w:rsidRDefault="000268FD" w:rsidP="00026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Punkty zidentyfikowane jako anomalie (oznaczone kolorem czerwonym).</w:t>
      </w:r>
    </w:p>
    <w:p w:rsidR="000268FD" w:rsidRPr="000268FD" w:rsidRDefault="000268FD" w:rsidP="00026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Prognozę wygenerowaną przez sieć LSTM (oznaczoną kolorem zielonym).</w:t>
      </w:r>
    </w:p>
    <w:p w:rsidR="000268FD" w:rsidRPr="000268FD" w:rsidRDefault="000268FD" w:rsidP="001D2B8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Ewaluacja jakości modelu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Autoenkodera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odbywa się poprzez analizę histogramu błędów rekonstrukcji oraz wizualną ocenę poprawności detekcji nagłych skoków cenowych. Jakość predykcji LSTM zależy od horyzontu czasowego – ze względu na iteracyjny charakter prognozy, błąd rośnie wraz z długością prognozowanego okresu.</w:t>
      </w:r>
    </w:p>
    <w:p w:rsidR="000268FD" w:rsidRPr="000268FD" w:rsidRDefault="000268FD" w:rsidP="00026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0" w:name="_GoBack"/>
      <w:bookmarkEnd w:id="0"/>
      <w:r w:rsidRPr="000268FD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7. Wnioski</w:t>
      </w:r>
    </w:p>
    <w:p w:rsidR="00DA29FF" w:rsidRPr="001D2B81" w:rsidRDefault="000268FD" w:rsidP="001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Zastosowanie architektury hybrydowej pozwoliło na zwiększenie odporności modelu predykcyjnego na szum rynkowy. Wstępne oczyszczenie danych przez </w:t>
      </w:r>
      <w:proofErr w:type="spellStart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>Autoenkoder</w:t>
      </w:r>
      <w:proofErr w:type="spellEnd"/>
      <w:r w:rsidRPr="000268F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zapobiega "przeuczeniu" się sieci LSTM na zdarzeniach nietypowych, co w teorii prowadzi do lepszej generalizacji trendu głównego.</w:t>
      </w:r>
    </w:p>
    <w:sectPr w:rsidR="00DA29FF" w:rsidRPr="001D2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6EA1"/>
    <w:multiLevelType w:val="multilevel"/>
    <w:tmpl w:val="BCD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6EA"/>
    <w:multiLevelType w:val="multilevel"/>
    <w:tmpl w:val="CD8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0D17"/>
    <w:multiLevelType w:val="multilevel"/>
    <w:tmpl w:val="D11E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60FBC"/>
    <w:multiLevelType w:val="multilevel"/>
    <w:tmpl w:val="A70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3E30"/>
    <w:multiLevelType w:val="multilevel"/>
    <w:tmpl w:val="0C4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4439"/>
    <w:multiLevelType w:val="multilevel"/>
    <w:tmpl w:val="ED3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D0357"/>
    <w:multiLevelType w:val="multilevel"/>
    <w:tmpl w:val="A0F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940C1"/>
    <w:multiLevelType w:val="multilevel"/>
    <w:tmpl w:val="FAAA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46500"/>
    <w:multiLevelType w:val="multilevel"/>
    <w:tmpl w:val="FB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9371F"/>
    <w:multiLevelType w:val="multilevel"/>
    <w:tmpl w:val="BCA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030E0"/>
    <w:multiLevelType w:val="multilevel"/>
    <w:tmpl w:val="5DE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A13"/>
    <w:multiLevelType w:val="multilevel"/>
    <w:tmpl w:val="EB34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7D523F"/>
    <w:multiLevelType w:val="multilevel"/>
    <w:tmpl w:val="0526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60EFB"/>
    <w:multiLevelType w:val="multilevel"/>
    <w:tmpl w:val="A71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73883"/>
    <w:multiLevelType w:val="multilevel"/>
    <w:tmpl w:val="52D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A3539"/>
    <w:multiLevelType w:val="multilevel"/>
    <w:tmpl w:val="2B38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804171"/>
    <w:multiLevelType w:val="multilevel"/>
    <w:tmpl w:val="7C1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E3C97"/>
    <w:multiLevelType w:val="multilevel"/>
    <w:tmpl w:val="43B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760EB"/>
    <w:multiLevelType w:val="multilevel"/>
    <w:tmpl w:val="AB66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35D75"/>
    <w:multiLevelType w:val="multilevel"/>
    <w:tmpl w:val="286A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30014"/>
    <w:multiLevelType w:val="multilevel"/>
    <w:tmpl w:val="5C2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6"/>
  </w:num>
  <w:num w:numId="4">
    <w:abstractNumId w:val="17"/>
  </w:num>
  <w:num w:numId="5">
    <w:abstractNumId w:val="8"/>
  </w:num>
  <w:num w:numId="6">
    <w:abstractNumId w:val="4"/>
  </w:num>
  <w:num w:numId="7">
    <w:abstractNumId w:val="1"/>
  </w:num>
  <w:num w:numId="8">
    <w:abstractNumId w:val="16"/>
  </w:num>
  <w:num w:numId="9">
    <w:abstractNumId w:val="5"/>
  </w:num>
  <w:num w:numId="10">
    <w:abstractNumId w:val="20"/>
  </w:num>
  <w:num w:numId="11">
    <w:abstractNumId w:val="0"/>
  </w:num>
  <w:num w:numId="12">
    <w:abstractNumId w:val="14"/>
  </w:num>
  <w:num w:numId="13">
    <w:abstractNumId w:val="7"/>
  </w:num>
  <w:num w:numId="14">
    <w:abstractNumId w:val="11"/>
  </w:num>
  <w:num w:numId="15">
    <w:abstractNumId w:val="10"/>
  </w:num>
  <w:num w:numId="16">
    <w:abstractNumId w:val="12"/>
  </w:num>
  <w:num w:numId="17">
    <w:abstractNumId w:val="13"/>
  </w:num>
  <w:num w:numId="18">
    <w:abstractNumId w:val="19"/>
  </w:num>
  <w:num w:numId="19">
    <w:abstractNumId w:val="9"/>
  </w:num>
  <w:num w:numId="20">
    <w:abstractNumId w:val="1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FD"/>
    <w:rsid w:val="000268FD"/>
    <w:rsid w:val="001D2B81"/>
    <w:rsid w:val="00DA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2E2E"/>
  <w15:chartTrackingRefBased/>
  <w15:docId w15:val="{F3AA33DA-8C1E-4DA0-A07B-60666FE1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026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026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026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268F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0268F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0268F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026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0268FD"/>
    <w:rPr>
      <w:i/>
      <w:iCs/>
    </w:rPr>
  </w:style>
  <w:style w:type="character" w:styleId="Pogrubienie">
    <w:name w:val="Strong"/>
    <w:basedOn w:val="Domylnaczcionkaakapitu"/>
    <w:uiPriority w:val="22"/>
    <w:qFormat/>
    <w:rsid w:val="000268FD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0268FD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26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268FD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2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779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2025-11-30T13:02:00Z</dcterms:created>
  <dcterms:modified xsi:type="dcterms:W3CDTF">2025-11-30T13:15:00Z</dcterms:modified>
</cp:coreProperties>
</file>