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Calibri" w:cs="Calibri" w:eastAsia="Calibri" w:hAnsi="Calibri"/>
          <w:color w:val="1E293B"/>
          <w:sz w:val="20"/>
          <w:szCs w:val="20"/>
        </w:rPr>
        <w:t xml:space="preserve"/>
      </w:r>
    </w:p>
    <w:p>
      <w:pPr>
        <w:spacing w:after="0" w:before="0"/>
        <w:jc w:val="left"/>
      </w:pPr>
      <w:r>
        <w:rPr>
          <w:rFonts w:ascii="Calibri" w:cs="Calibri" w:eastAsia="Calibri" w:hAnsi="Calibri"/>
          <w:b/>
          <w:bCs/>
          <w:color w:val="2563EB"/>
          <w:sz w:val="72"/>
          <w:szCs w:val="72"/>
        </w:rPr>
        <w:t xml:space="preserve">ChurnGuard</w:t>
      </w:r>
      <w:r>
        <w:rPr>
          <w:rFonts w:ascii="Calibri" w:cs="Calibri" w:eastAsia="Calibri" w:hAnsi="Calibri"/>
          <w:b w:val="false"/>
          <w:bCs w:val="false"/>
          <w:color w:val="475569"/>
          <w:sz w:val="72"/>
          <w:szCs w:val="72"/>
        </w:rPr>
        <w:t xml:space="preserve"> v7</w:t>
      </w:r>
    </w:p>
    <w:p>
      <w:pPr>
        <w:spacing w:after="200" w:before="80"/>
        <w:jc w:val="left"/>
      </w:pPr>
      <w:r>
        <w:rPr>
          <w:rFonts w:ascii="Calibri" w:cs="Calibri" w:eastAsia="Calibri" w:hAnsi="Calibri"/>
          <w:color w:val="475569"/>
          <w:sz w:val="34"/>
          <w:szCs w:val="34"/>
        </w:rPr>
        <w:t xml:space="preserve">Software Requirements &amp; Technical Specification</w:t>
      </w:r>
    </w:p>
    <w:p>
      <w:pPr>
        <w:pBdr>
          <w:top w:val="single" w:color="2563EB" w:sz="4"/>
        </w:pBdr>
        <w:spacing w:after="320" w:before="60"/>
      </w:pPr>
      <w:r>
        <w:rPr>
          <w:rFonts w:ascii="Calibri" w:cs="Calibri" w:eastAsia="Calibri" w:hAnsi="Calibri"/>
          <w:color w:val="1E293B"/>
          <w:sz w:val="20"/>
          <w:szCs w:val="20"/>
        </w:rPr>
        <w:t xml:space="preserve"/>
      </w:r>
    </w:p>
    <w:p>
      <w:pPr>
        <w:tabs>
          <w:tab w:val="left" w:pos="2800"/>
        </w:tabs>
        <w:spacing w:after="60" w:before="60"/>
      </w:pPr>
      <w:r>
        <w:rPr>
          <w:rFonts w:ascii="Calibri" w:cs="Calibri" w:eastAsia="Calibri" w:hAnsi="Calibri"/>
          <w:b/>
          <w:bCs/>
          <w:color w:val="475569"/>
          <w:sz w:val="20"/>
          <w:szCs w:val="20"/>
        </w:rPr>
        <w:t xml:space="preserve">Sistema</w:t>
      </w:r>
      <w:r>
        <w:t xml:space="preserve">	</w:t>
      </w:r>
      <w:r>
        <w:rPr>
          <w:rFonts w:ascii="Calibri" w:cs="Calibri" w:eastAsia="Calibri" w:hAnsi="Calibri"/>
          <w:color w:val="1E293B"/>
          <w:sz w:val="20"/>
          <w:szCs w:val="20"/>
        </w:rPr>
        <w:t xml:space="preserve">Sistema Predictivo de Retención de Clientes en Telecomunicaciones</w:t>
      </w:r>
    </w:p>
    <w:p>
      <w:pPr>
        <w:tabs>
          <w:tab w:val="left" w:pos="2800"/>
        </w:tabs>
        <w:spacing w:after="60" w:before="60"/>
      </w:pPr>
      <w:r>
        <w:rPr>
          <w:rFonts w:ascii="Calibri" w:cs="Calibri" w:eastAsia="Calibri" w:hAnsi="Calibri"/>
          <w:b/>
          <w:bCs/>
          <w:color w:val="475569"/>
          <w:sz w:val="20"/>
          <w:szCs w:val="20"/>
        </w:rPr>
        <w:t xml:space="preserve">Versión documento</w:t>
      </w:r>
      <w:r>
        <w:t xml:space="preserve">	</w:t>
      </w:r>
      <w:r>
        <w:rPr>
          <w:rFonts w:ascii="Calibri" w:cs="Calibri" w:eastAsia="Calibri" w:hAnsi="Calibri"/>
          <w:color w:val="1E293B"/>
          <w:sz w:val="20"/>
          <w:szCs w:val="20"/>
        </w:rPr>
        <w:t xml:space="preserve">1.0</w:t>
      </w:r>
    </w:p>
    <w:p>
      <w:pPr>
        <w:tabs>
          <w:tab w:val="left" w:pos="2800"/>
        </w:tabs>
        <w:spacing w:after="60" w:before="60"/>
      </w:pPr>
      <w:r>
        <w:rPr>
          <w:rFonts w:ascii="Calibri" w:cs="Calibri" w:eastAsia="Calibri" w:hAnsi="Calibri"/>
          <w:b/>
          <w:bCs/>
          <w:color w:val="475569"/>
          <w:sz w:val="20"/>
          <w:szCs w:val="20"/>
        </w:rPr>
        <w:t xml:space="preserve">Versión software</w:t>
      </w:r>
      <w:r>
        <w:t xml:space="preserve">	</w:t>
      </w:r>
      <w:r>
        <w:rPr>
          <w:rFonts w:ascii="Calibri" w:cs="Calibri" w:eastAsia="Calibri" w:hAnsi="Calibri"/>
          <w:color w:val="1E293B"/>
          <w:sz w:val="20"/>
          <w:szCs w:val="20"/>
        </w:rPr>
        <w:t xml:space="preserve">v7 (final)</w:t>
      </w:r>
    </w:p>
    <w:p>
      <w:pPr>
        <w:tabs>
          <w:tab w:val="left" w:pos="2800"/>
        </w:tabs>
        <w:spacing w:after="60" w:before="60"/>
      </w:pPr>
      <w:r>
        <w:rPr>
          <w:rFonts w:ascii="Calibri" w:cs="Calibri" w:eastAsia="Calibri" w:hAnsi="Calibri"/>
          <w:b/>
          <w:bCs/>
          <w:color w:val="475569"/>
          <w:sz w:val="20"/>
          <w:szCs w:val="20"/>
        </w:rPr>
        <w:t xml:space="preserve">Estándar aplicado</w:t>
      </w:r>
      <w:r>
        <w:t xml:space="preserve">	</w:t>
      </w:r>
      <w:r>
        <w:rPr>
          <w:rFonts w:ascii="Calibri" w:cs="Calibri" w:eastAsia="Calibri" w:hAnsi="Calibri"/>
          <w:color w:val="1E293B"/>
          <w:sz w:val="20"/>
          <w:szCs w:val="20"/>
        </w:rPr>
        <w:t xml:space="preserve">IEEE 830-1998 / ISO/IEC 29148:2018</w:t>
      </w:r>
    </w:p>
    <w:p>
      <w:pPr>
        <w:tabs>
          <w:tab w:val="left" w:pos="2800"/>
        </w:tabs>
        <w:spacing w:after="60" w:before="60"/>
      </w:pPr>
      <w:r>
        <w:rPr>
          <w:rFonts w:ascii="Calibri" w:cs="Calibri" w:eastAsia="Calibri" w:hAnsi="Calibri"/>
          <w:b/>
          <w:bCs/>
          <w:color w:val="475569"/>
          <w:sz w:val="20"/>
          <w:szCs w:val="20"/>
        </w:rPr>
        <w:t xml:space="preserve">Autora</w:t>
      </w:r>
      <w:r>
        <w:t xml:space="preserve">	</w:t>
      </w:r>
      <w:r>
        <w:rPr>
          <w:rFonts w:ascii="Calibri" w:cs="Calibri" w:eastAsia="Calibri" w:hAnsi="Calibri"/>
          <w:color w:val="1E293B"/>
          <w:sz w:val="20"/>
          <w:szCs w:val="20"/>
        </w:rPr>
        <w:t xml:space="preserve">Natalia Stekolnikova</w:t>
      </w:r>
    </w:p>
    <w:p>
      <w:pPr>
        <w:tabs>
          <w:tab w:val="left" w:pos="2800"/>
        </w:tabs>
        <w:spacing w:after="60" w:before="60"/>
      </w:pPr>
      <w:r>
        <w:rPr>
          <w:rFonts w:ascii="Calibri" w:cs="Calibri" w:eastAsia="Calibri" w:hAnsi="Calibri"/>
          <w:b/>
          <w:bCs/>
          <w:color w:val="475569"/>
          <w:sz w:val="20"/>
          <w:szCs w:val="20"/>
        </w:rPr>
        <w:t xml:space="preserve">Contacto</w:t>
      </w:r>
      <w:r>
        <w:t xml:space="preserve">	</w:t>
      </w:r>
      <w:r>
        <w:rPr>
          <w:rFonts w:ascii="Calibri" w:cs="Calibri" w:eastAsia="Calibri" w:hAnsi="Calibri"/>
          <w:color w:val="1E293B"/>
          <w:sz w:val="20"/>
          <w:szCs w:val="20"/>
        </w:rPr>
        <w:t xml:space="preserve">linkedin.com/in/natalia-stekolnikova</w:t>
      </w:r>
    </w:p>
    <w:p>
      <w:pPr>
        <w:tabs>
          <w:tab w:val="left" w:pos="2800"/>
        </w:tabs>
        <w:spacing w:after="60" w:before="60"/>
      </w:pPr>
      <w:r>
        <w:rPr>
          <w:rFonts w:ascii="Calibri" w:cs="Calibri" w:eastAsia="Calibri" w:hAnsi="Calibri"/>
          <w:b/>
          <w:bCs/>
          <w:color w:val="475569"/>
          <w:sz w:val="20"/>
          <w:szCs w:val="20"/>
        </w:rPr>
        <w:t xml:space="preserve">Fecha</w:t>
      </w:r>
      <w:r>
        <w:t xml:space="preserve">	</w:t>
      </w:r>
      <w:r>
        <w:rPr>
          <w:rFonts w:ascii="Calibri" w:cs="Calibri" w:eastAsia="Calibri" w:hAnsi="Calibri"/>
          <w:color w:val="1E293B"/>
          <w:sz w:val="20"/>
          <w:szCs w:val="20"/>
        </w:rPr>
        <w:t xml:space="preserve">23 de abril de 2026</w:t>
      </w:r>
    </w:p>
    <w:p>
      <w:pPr>
        <w:tabs>
          <w:tab w:val="left" w:pos="2800"/>
        </w:tabs>
        <w:spacing w:after="60" w:before="60"/>
      </w:pPr>
      <w:r>
        <w:rPr>
          <w:rFonts w:ascii="Calibri" w:cs="Calibri" w:eastAsia="Calibri" w:hAnsi="Calibri"/>
          <w:b/>
          <w:bCs/>
          <w:color w:val="475569"/>
          <w:sz w:val="20"/>
          <w:szCs w:val="20"/>
        </w:rPr>
        <w:t xml:space="preserve">Clasificación</w:t>
      </w:r>
      <w:r>
        <w:t xml:space="preserve">	</w:t>
      </w:r>
      <w:r>
        <w:rPr>
          <w:rFonts w:ascii="Calibri" w:cs="Calibri" w:eastAsia="Calibri" w:hAnsi="Calibri"/>
          <w:color w:val="1E293B"/>
          <w:sz w:val="20"/>
          <w:szCs w:val="20"/>
        </w:rPr>
        <w:t xml:space="preserve">Proyecto académico — IFCT153PO</w:t>
      </w:r>
    </w:p>
    <w:p>
      <w:pPr>
        <w:spacing w:after="200" w:before="0"/>
      </w:pPr>
      <w:r>
        <w:rPr>
          <w:rFonts w:ascii="Calibri" w:cs="Calibri" w:eastAsia="Calibri" w:hAnsi="Calibri"/>
          <w:color w:val="1E293B"/>
          <w:sz w:val="20"/>
          <w:szCs w:val="20"/>
        </w:rPr>
        <w:t xml:space="preserve"/>
      </w:r>
    </w:p>
    <w:p>
      <w:pPr>
        <w:pBdr>
          <w:left w:val="single" w:color="2563EB" w:sz="8"/>
        </w:pBdr>
        <w:shd w:fill="EFF6FF" w:val="clear"/>
        <w:spacing w:after="120" w:before="120"/>
        <w:ind w:left="200"/>
      </w:pPr>
      <w:r>
        <w:rPr>
          <w:rFonts w:ascii="Calibri" w:cs="Calibri" w:eastAsia="Calibri" w:hAnsi="Calibri"/>
          <w:i/>
          <w:iCs/>
          <w:color w:val="475569"/>
          <w:sz w:val="19"/>
          <w:szCs w:val="19"/>
        </w:rPr>
        <w:t xml:space="preserve">Este documento constituye la especificación técnica completa de ChurnGuard v7, describiendo requisitos funcionales y no funcionales, arquitectura del sistema, metodología de Machine Learning, pipeline ETL, justificación de decisiones de diseño e impacto de negocio, conforme a los estándares IEEE 830 e ISO/IEC 29148.</w:t>
      </w:r>
    </w:p>
    <w:p>
      <w:r>
        <w:br w:type="page"/>
      </w:r>
    </w:p>
    <w:p>
      <w:pPr>
        <w:pStyle w:val="Heading1"/>
        <w:spacing w:after="160" w:before="0"/>
      </w:pPr>
      <w:r>
        <w:rPr>
          <w:rFonts w:ascii="Calibri" w:cs="Calibri" w:eastAsia="Calibri" w:hAnsi="Calibri"/>
          <w:b/>
          <w:bCs/>
          <w:color w:val="1E293B"/>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2"/>
        </w:pBdr>
        <w:shd w:fill="1E3A5F" w:val="clear"/>
        <w:spacing w:after="180" w:before="360"/>
      </w:pPr>
      <w:bookmarkStart w:name="sec1" w:id="1"/>
      <w:r>
        <w:rPr>
          <w:rFonts w:ascii="Calibri" w:cs="Calibri" w:eastAsia="Calibri" w:hAnsi="Calibri"/>
          <w:b/>
          <w:bCs/>
          <w:color w:val="FFFFFF"/>
          <w:sz w:val="32"/>
          <w:szCs w:val="32"/>
        </w:rPr>
        <w:t xml:space="preserve">1. Introducción</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1.1 Propósito del documento</w:t>
      </w:r>
    </w:p>
    <w:p>
      <w:pPr>
        <w:spacing w:after="80" w:before="60"/>
      </w:pPr>
      <w:r>
        <w:rPr>
          <w:rFonts w:ascii="Calibri" w:cs="Calibri" w:eastAsia="Calibri" w:hAnsi="Calibri"/>
          <w:color w:val="1E293B"/>
          <w:sz w:val="20"/>
          <w:szCs w:val="20"/>
        </w:rPr>
        <w:t xml:space="preserve">Este documento especifica los requisitos de software para ChurnGuard v7, una aplicación web standalone de predicción y segmentación de riesgo de abandono de clientes (churn) en el sector de las telecomunicaciones. Sigue la estructura definida por el estándar IEEE 830-1998 (Software Requirements Specification) e ISO/IEC 29148:2018 (Systems and software engineering — Life cycle processes — Requirements engineering).</w:t>
      </w:r>
    </w:p>
    <w:p>
      <w:pPr>
        <w:spacing w:after="80" w:before="60"/>
      </w:pPr>
      <w:r>
        <w:rPr>
          <w:rFonts w:ascii="Calibri" w:cs="Calibri" w:eastAsia="Calibri" w:hAnsi="Calibri"/>
          <w:color w:val="1E293B"/>
          <w:sz w:val="20"/>
          <w:szCs w:val="20"/>
        </w:rPr>
        <w:t xml:space="preserve">La especificación documenta: el contexto de negocio, todos los requisitos funcionales y no funcionales, la arquitectura de la solución, el pipeline de datos ETL, la metodología de machine learning con su justificación académica, y la trazabilidad completa de los datos presentados en la aplicación.</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1.2 Alcance del sistema</w:t>
      </w:r>
    </w:p>
    <w:p>
      <w:pPr>
        <w:spacing w:after="80" w:before="60"/>
      </w:pPr>
      <w:r>
        <w:rPr>
          <w:rFonts w:ascii="Calibri" w:cs="Calibri" w:eastAsia="Calibri" w:hAnsi="Calibri"/>
          <w:b/>
          <w:bCs/>
          <w:color w:val="1E293B"/>
          <w:sz w:val="20"/>
          <w:szCs w:val="20"/>
        </w:rPr>
        <w:t xml:space="preserve">Nombre del sistema:</w:t>
      </w:r>
      <w:r>
        <w:rPr>
          <w:rFonts w:ascii="Calibri" w:cs="Calibri" w:eastAsia="Calibri" w:hAnsi="Calibri"/>
          <w:color w:val="1E293B"/>
          <w:sz w:val="20"/>
          <w:szCs w:val="20"/>
        </w:rPr>
        <w:t xml:space="preserve"> ChurnGuard v7 — Sistema Predictivo Multi-Nivel de Retención de Clientes en Telecomunicaciones</w:t>
      </w:r>
    </w:p>
    <w:p>
      <w:pPr>
        <w:spacing w:after="80" w:before="60"/>
      </w:pPr>
      <w:r>
        <w:rPr>
          <w:rFonts w:ascii="Calibri" w:cs="Calibri" w:eastAsia="Calibri" w:hAnsi="Calibri"/>
          <w:color w:val="1E293B"/>
          <w:sz w:val="20"/>
          <w:szCs w:val="20"/>
        </w:rPr>
        <w:t xml:space="preserve">ChurnGuard v7 es una aplicación web standalone (fichero HTML único autocontenido, 110,7 KB) que permite a una empresa de telecomunicaciones identificar y priorizar proactivamente a los clientes en riesgo de abandonar el servicio, mediante un modelo de Machine Learning embebido directamente en JavaScript. El sistema clasifica a cada cliente en cuatro niveles de riesgo (Low, Moderate, High, Critical) y genera recomendaciones de retención proporcionales al nivel detectado.</w:t>
      </w:r>
    </w:p>
    <w:p>
      <w:pPr>
        <w:spacing w:after="80" w:before="60"/>
      </w:pPr>
      <w:r>
        <w:rPr>
          <w:rFonts w:ascii="Calibri" w:cs="Calibri" w:eastAsia="Calibri" w:hAnsi="Calibri"/>
          <w:b/>
          <w:bCs/>
          <w:color w:val="1E293B"/>
          <w:sz w:val="20"/>
          <w:szCs w:val="20"/>
        </w:rPr>
        <w:t xml:space="preserve">Dentro del alcance:</w:t>
      </w:r>
      <w:r>
        <w:rPr>
          <w:rFonts w:ascii="Calibri" w:cs="Calibri" w:eastAsia="Calibri" w:hAnsi="Calibri"/>
          <w:color w:val="1E293B"/>
          <w:sz w:val="20"/>
          <w:szCs w:val="20"/>
        </w:rPr>
        <w:t xml:space="preserve"> carga y procesamiento de CSV de clientes, scoring individual y por lote, exportación de listas de riesgo para CRM, predicción interactiva, y visualización de métricas del modelo.</w:t>
      </w:r>
    </w:p>
    <w:p>
      <w:pPr>
        <w:spacing w:after="80" w:before="60"/>
      </w:pPr>
      <w:r>
        <w:rPr>
          <w:rFonts w:ascii="Calibri" w:cs="Calibri" w:eastAsia="Calibri" w:hAnsi="Calibri"/>
          <w:b/>
          <w:bCs/>
          <w:color w:val="1E293B"/>
          <w:sz w:val="20"/>
          <w:szCs w:val="20"/>
        </w:rPr>
        <w:t xml:space="preserve">Fuera del alcance:</w:t>
      </w:r>
      <w:r>
        <w:rPr>
          <w:rFonts w:ascii="Calibri" w:cs="Calibri" w:eastAsia="Calibri" w:hAnsi="Calibri"/>
          <w:color w:val="1E293B"/>
          <w:sz w:val="20"/>
          <w:szCs w:val="20"/>
        </w:rPr>
        <w:t xml:space="preserve"> reentrenamiento del modelo, conexión a bases de datos externas, autenticación de usuarios, integración directa con CRM, y envío automático de campañas.</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1.3 Definiciones,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Término</w:t>
            </w:r>
          </w:p>
        </w:tc>
        <w:tc>
          <w:tcPr>
            <w:tcW w:type="dxa" w:w="6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Definición</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Abandono voluntario de un cliente de un servicio de telecomunicaciones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AUC-ROC</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Area Under the Receiver Operating Characteristic Curve — métrica de discriminación del modelo ML</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OVR</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One-vs-Rest — estrategia multiclase que entrena un clasificador binario por cada clase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OOF</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Out-of-Fold — predicciones generadas sobre datos no vistos durante el entrenamiento de cada fold</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LTV</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Life-Time Value — valor económico acumulado de un cliente durante su ciclo de vida</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ETL</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Extract, Transform, Load — pipeline de procesamiento de datos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CRM</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Customer Relationship Management — sistema de gestión de relaciones con clientes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KPI</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Key Performance Indicator — indicador clave de rendimiento</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BOM</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Byte Order Mark — marcador de codificación UTF-8 para compatibilidad con Excel</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FN</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False Negative — cliente que abandona y el modelo clasifica como no-abandonador</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FP</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False Positive — cliente que no abandona y el modelo clasifica como abandonador</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JS</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JavaScript — lenguaje de programación del navegador web</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SKF</w:t>
            </w:r>
          </w:p>
        </w:tc>
        <w:tc>
          <w:tcPr>
            <w:tcW w:type="dxa" w:w="6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StratifiedKFold — validación cruzada estratificada preservando la distribución de clases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B2E</w:t>
            </w:r>
          </w:p>
        </w:tc>
        <w:tc>
          <w:tcPr>
            <w:tcW w:type="dxa" w:w="6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Business-to-Employee — aplicación diseñada para uso por empleados de la organización</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1.4 Referencias normativas y bibliográficas</w:t>
      </w:r>
    </w:p>
    <w:p>
      <w:pPr>
        <w:spacing w:after="80" w:before="60"/>
      </w:pPr>
      <w:r>
        <w:rPr>
          <w:rFonts w:ascii="Calibri" w:cs="Calibri" w:eastAsia="Calibri" w:hAnsi="Calibri"/>
          <w:color w:val="1E293B"/>
          <w:sz w:val="20"/>
          <w:szCs w:val="20"/>
        </w:rPr>
        <w:t xml:space="preserve">Los siguientes documentos y referencias académicas son aplicables a este documento: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IEEE 830-1998. IEEE Recommended Practice for Software Requirements Specifications.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ISO/IEC 29148:2018. Systems and software engineering — Life cycle processes — Requirements engineering.</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ISO/IEC 25010:2011. Systems and software quality models (SQuaRE).</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Verbeke, W., Dejaeger, K., Martens, D., Hur, J., &amp; Baesens, B. (2012). New insights into churn prediction in the telecommunication sector: A profit driven data mining approach. European Journal of Operational Research, 218(1), 211-229.</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Văduva, M., &amp; Mocanu, I. (2024). Customer churn prediction using machine learning: a comparative study. Procedia Computer Science, 236, 12-19.</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Breiman, L. (2001). Random forests. Machine Learning, 45(1), 5-32.</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Tibshirani, R. (1996). Regression shrinkage and selection via the Lasso. Journal of the Royal Statistical Society B, 58(1), 267-288.</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IBM Telco Customer Churn Dataset. IBM Sample Data. Available: https://www.kaggle.com/datasets/blastchar/telco-customer-churn</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2" w:id="1"/>
      <w:r>
        <w:rPr>
          <w:rFonts w:ascii="Calibri" w:cs="Calibri" w:eastAsia="Calibri" w:hAnsi="Calibri"/>
          <w:b/>
          <w:bCs/>
          <w:color w:val="FFFFFF"/>
          <w:sz w:val="32"/>
          <w:szCs w:val="32"/>
        </w:rPr>
        <w:t xml:space="preserve">2. Descripción General del Sistema</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2.1 Perspectiva del producto</w:t>
      </w:r>
    </w:p>
    <w:p>
      <w:pPr>
        <w:spacing w:after="80" w:before="60"/>
      </w:pPr>
      <w:r>
        <w:rPr>
          <w:rFonts w:ascii="Calibri" w:cs="Calibri" w:eastAsia="Calibri" w:hAnsi="Calibri"/>
          <w:color w:val="1E293B"/>
          <w:sz w:val="20"/>
          <w:szCs w:val="20"/>
        </w:rPr>
        <w:t xml:space="preserve">ChurnGuard v7 es un sistema standalone que opera sin dependencias externas, servidores backend ni bases de datos. Se integra en el flujo de trabajo de un equipo de retención de clientes como un fichero HTML portable que puede distribuirse por correo, intranet corporativa o repositorio de ficheros.</w:t>
      </w:r>
    </w:p>
    <w:p>
      <w:pPr>
        <w:spacing w:after="80" w:before="60"/>
      </w:pPr>
      <w:r>
        <w:rPr>
          <w:rFonts w:ascii="Calibri" w:cs="Calibri" w:eastAsia="Calibri" w:hAnsi="Calibri"/>
          <w:color w:val="1E293B"/>
          <w:sz w:val="20"/>
          <w:szCs w:val="20"/>
        </w:rPr>
        <w:t xml:space="preserve">El sistema complementa (sin reemplazar) herramientas CRM existentes: su output principal es un CSV exportable que puede importarse directamente a Salesforce, Microsoft Dynamics, o cualquier sistema CRM que acepte ficheros CSV.</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2.2 Contexto de negocio y problema a resolver</w:t>
      </w:r>
    </w:p>
    <w:p>
      <w:pPr>
        <w:spacing w:after="80" w:before="60"/>
      </w:pPr>
      <w:r>
        <w:rPr>
          <w:rFonts w:ascii="Calibri" w:cs="Calibri" w:eastAsia="Calibri" w:hAnsi="Calibri"/>
          <w:b/>
          <w:bCs/>
          <w:color w:val="1E293B"/>
          <w:sz w:val="20"/>
          <w:szCs w:val="20"/>
        </w:rPr>
        <w:t xml:space="preserve">Problema central:</w:t>
      </w:r>
      <w:r>
        <w:rPr>
          <w:rFonts w:ascii="Calibri" w:cs="Calibri" w:eastAsia="Calibri" w:hAnsi="Calibri"/>
          <w:color w:val="1E293B"/>
          <w:sz w:val="20"/>
          <w:szCs w:val="20"/>
        </w:rPr>
        <w:t xml:space="preserve"> el 26,5% de los clientes de una empresa de telecomunicaciones abandona anualmente, representando una pérdida histórica acumulada de €2.862.927 en TotalCharges y una pérdida neta anual de €57.259 (aplicando margen bancario del 2%). Sin capacidad predictiva, la empresa actúa de forma reactiva tras la cancelación.</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Indicador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Valor</w:t>
            </w:r>
          </w:p>
        </w:tc>
        <w:tc>
          <w:tcPr>
            <w:tcW w:type="dxa" w:w="4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Fuente</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 de clientes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7.043</w:t>
            </w:r>
          </w:p>
        </w:tc>
        <w:tc>
          <w:tcPr>
            <w:tcW w:type="dxa" w:w="4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 — NB01</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Tasa de churn anual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26,5% (1.869 clientes)</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df["Churn"].value_counts()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Capital histórico perdido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€2.862.927</w:t>
            </w:r>
          </w:p>
        </w:tc>
        <w:tc>
          <w:tcPr>
            <w:tcW w:type="dxa" w:w="4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NB03 SQL Query 5</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Pérdida neta anual (margen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€57.259</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Cálculo de negocio NB03</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Facturación mensual perdida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€139.131 / mes</w:t>
            </w:r>
          </w:p>
        </w:tc>
        <w:tc>
          <w:tcPr>
            <w:tcW w:type="dxa" w:w="4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SUM(MonthlyCharges WHERE Churn=1)</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Pérdida diaria estimada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€4.638 / día</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€139.131 / 30 días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LTV medio de cliente churned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€1.531,80</w:t>
            </w:r>
          </w:p>
        </w:tc>
        <w:tc>
          <w:tcPr>
            <w:tcW w:type="dxa" w:w="4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AVG(TotalCharges WHERE Churn=1)</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Clientes con contrato M-to-M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3.875 (55,0%)</w:t>
            </w:r>
          </w:p>
        </w:tc>
        <w:tc>
          <w:tcPr>
            <w:tcW w:type="dxa" w:w="4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 churners con contrato M-to-M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88,6% (1.655/1.869)</w:t>
            </w:r>
          </w:p>
        </w:tc>
        <w:tc>
          <w:tcPr>
            <w:tcW w:type="dxa" w:w="4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2.3 Análisis predictivo y prescriptivo</w:t>
      </w:r>
    </w:p>
    <w:p>
      <w:pPr>
        <w:spacing w:after="80" w:before="60"/>
      </w:pPr>
      <w:r>
        <w:rPr>
          <w:rFonts w:ascii="Calibri" w:cs="Calibri" w:eastAsia="Calibri" w:hAnsi="Calibri"/>
          <w:b/>
          <w:bCs/>
          <w:color w:val="1E293B"/>
          <w:sz w:val="20"/>
          <w:szCs w:val="20"/>
        </w:rPr>
        <w:t xml:space="preserve">Análisis predictivo (¿qué va a pasar?):</w:t>
      </w:r>
      <w:r>
        <w:rPr>
          <w:rFonts w:ascii="Calibri" w:cs="Calibri" w:eastAsia="Calibri" w:hAnsi="Calibri"/>
          <w:color w:val="1E293B"/>
          <w:sz w:val="20"/>
          <w:szCs w:val="20"/>
        </w:rPr>
        <w:t xml:space="preserve"> el modelo de Machine Learning asigna a cada cliente una probabilidad individual de abandono P(churn) ∈ [0,1] y lo clasifica en uno de cuatro tiers de riesgo. La predicción se basa en 23 features que caracterizan el perfil del cliente: tipo de contrato, servicio de internet, método de pago, antigüedad, cargos mensuales y servicios contratados.</w:t>
      </w:r>
    </w:p>
    <w:p>
      <w:pPr>
        <w:spacing w:after="80" w:before="60"/>
      </w:pPr>
      <w:r>
        <w:rPr>
          <w:rFonts w:ascii="Calibri" w:cs="Calibri" w:eastAsia="Calibri" w:hAnsi="Calibri"/>
          <w:b/>
          <w:bCs/>
          <w:color w:val="1E293B"/>
          <w:sz w:val="20"/>
          <w:szCs w:val="20"/>
        </w:rPr>
        <w:t xml:space="preserve">Análisis prescriptivo (¿qué hacer?):</w:t>
      </w:r>
      <w:r>
        <w:rPr>
          <w:rFonts w:ascii="Calibri" w:cs="Calibri" w:eastAsia="Calibri" w:hAnsi="Calibri"/>
          <w:color w:val="1E293B"/>
          <w:sz w:val="20"/>
          <w:szCs w:val="20"/>
        </w:rPr>
        <w:t xml:space="preserve"> en función del tier asignado, el sistema prescribe una acción de retención específica y proporcional al riesgo, con su coste estimado y ROI proyectado. Esto transforma el output del modelo en decisiones accionables sin requerir interpretación técnica por parte del usuario final.</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600"/>
        <w:gridCol w:w="426"/>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Tier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P(churn)</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Clientes (OOF)</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Acción prescrita</w:t>
            </w:r>
          </w:p>
        </w:tc>
        <w:tc>
          <w:tcPr>
            <w:tcW w:type="dxa" w:w="4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Coste/cliente</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 Low</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 ≤ 30%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2.963 (42,1%)</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Sin acción — monitorización</w:t>
            </w:r>
          </w:p>
        </w:tc>
        <w:tc>
          <w:tcPr>
            <w:tcW w:type="dxa" w:w="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 Moderate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30% &lt; P ≤ 50%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1.160 (16,5%)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Campaña de email personalizado</w:t>
            </w:r>
          </w:p>
        </w:tc>
        <w:tc>
          <w:tcPr>
            <w:tcW w:type="dxa" w:w="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w:t>
            </w:r>
          </w:p>
        </w:tc>
      </w:tr>
      <w:tr>
        <w:trPr>
          <w:tblHeader w:val="false"/>
        </w:trP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 High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 &lt; P ≤ 70%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1.143 (16,2%)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Llamada proactiva de retención</w:t>
            </w:r>
          </w:p>
        </w:tc>
        <w:tc>
          <w:tcPr>
            <w:tcW w:type="dxa" w:w="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w:t>
            </w:r>
          </w:p>
        </w:tc>
      </w:tr>
      <w:tr>
        <w:trPr>
          <w:tblHeader w:val="false"/>
        </w:trP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 Critical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 &gt; 70%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1.777 (25,2%)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Intervención VIP + descuento</w:t>
            </w:r>
          </w:p>
        </w:tc>
        <w:tc>
          <w:tcPr>
            <w:tcW w:type="dxa" w:w="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2.4 Funciones principales</w:t>
      </w:r>
    </w:p>
    <w:p>
      <w:pPr>
        <w:spacing w:after="80" w:before="60"/>
      </w:pPr>
      <w:r>
        <w:rPr>
          <w:rFonts w:ascii="Calibri" w:cs="Calibri" w:eastAsia="Calibri" w:hAnsi="Calibri"/>
          <w:color w:val="1E293B"/>
          <w:sz w:val="20"/>
          <w:szCs w:val="20"/>
        </w:rPr>
        <w:t xml:space="preserve">ChurnGuard v7 implementa las siguientes capacidades funcionales de alto nivel:</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Carga y validación de datos CSV de clientes (drag &amp; drop, detección automática de delimitador, mapeo de columnas)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Scoring por lote de todos los clientes cargados mediante modelo LR embebido en JavaScript</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Dashboard ejecutivo de KPIs: tasa de churn, capital en riesgo, distribución por tiers, métricas del modelo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Lista priorizada de clientes en riesgo con filtrado multidimensional y exportación a CSV para integración con CRM</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Predictor individual interactivo: evaluación de riesgo de un cliente específico en tiempo real</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Transparencia técnica del modelo: comparativa de modelos, importancia de variables, exportación de script Python de scoring</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2.5 Características de los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000"/>
        <w:gridCol w:w="1526"/>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Perfil</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Nivel técnico</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Necesidad principal</w:t>
            </w:r>
          </w:p>
        </w:tc>
        <w:tc>
          <w:tcPr>
            <w:tcW w:type="dxa" w:w="15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Módulos primarios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Retention Manager / CRM</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Bajo</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 quién llamar esta semana y con qué acción?</w:t>
            </w:r>
          </w:p>
        </w:tc>
        <w:tc>
          <w:tcPr>
            <w:tcW w:type="dxa" w:w="1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At-Risk List, Risk Predictor</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Data Analyst / BI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Drivers del churn, validación del modelo, segmentaciones</w:t>
            </w:r>
          </w:p>
        </w:tc>
        <w:tc>
          <w:tcPr>
            <w:tcW w:type="dxa" w:w="1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Overview, Model Details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Dirección Ejecutiva / CFO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Bajo</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 rate, capital en riesgo, ROI de campañas</w:t>
            </w:r>
          </w:p>
        </w:tc>
        <w:tc>
          <w:tcPr>
            <w:tcW w:type="dxa" w:w="1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Overview (KPI cards)</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2.6 Supuestos y dependencias</w:t>
      </w:r>
    </w:p>
    <w:p>
      <w:pPr>
        <w:spacing w:after="80" w:before="60"/>
      </w:pPr>
      <w:r>
        <w:rPr>
          <w:rFonts w:ascii="Calibri" w:cs="Calibri" w:eastAsia="Calibri" w:hAnsi="Calibri"/>
          <w:b/>
          <w:bCs/>
          <w:color w:val="1E293B"/>
          <w:sz w:val="20"/>
          <w:szCs w:val="20"/>
        </w:rPr>
        <w:t xml:space="preserve">Supuestos del sistema:</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fichero CSV de entrada contiene al menos las columnas: customerID, tenure, MonthlyCharges, Contract, InternetService, PaymentMethod</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Los valores de tenure están expresados en meses (enteros ≥ 0)</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MonthlyCharges es un valor decimal positivo expresado en euros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Si TotalCharges no está disponible, se estima como tenure × MonthlyCharges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modelo embebido fue calibrado sobre el dataset IBM Telco (mercado USA). Para mercados diferentes, se recomienda recalibrar los coeficientes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navegador soporta ES6+ (Chrome 90+, Firefox 88+, Safari 14+, Edge 90+)</w:t>
      </w:r>
    </w:p>
    <w:p>
      <w:pPr>
        <w:spacing w:after="60" w:before="0"/>
      </w:pPr>
      <w:r>
        <w:rPr>
          <w:rFonts w:ascii="Calibri" w:cs="Calibri" w:eastAsia="Calibri" w:hAnsi="Calibri"/>
          <w:color w:val="1E293B"/>
          <w:sz w:val="20"/>
          <w:szCs w:val="20"/>
        </w:rPr>
        <w:t xml:space="preserve"/>
      </w:r>
    </w:p>
    <w:p>
      <w:pPr>
        <w:spacing w:after="80" w:before="60"/>
      </w:pPr>
      <w:r>
        <w:rPr>
          <w:rFonts w:ascii="Calibri" w:cs="Calibri" w:eastAsia="Calibri" w:hAnsi="Calibri"/>
          <w:b/>
          <w:bCs/>
          <w:color w:val="1E293B"/>
          <w:sz w:val="20"/>
          <w:szCs w:val="20"/>
        </w:rPr>
        <w:t xml:space="preserve">Dependencias: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sistema es completamente standalone: no depende de ningún servicio externo, API, CDN ni librería de terceros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Las visualizaciones utilizan Canvas API nativo del navegador (sin Chart.js, D3.js ni otras librerías gráficas)</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3" w:id="1"/>
      <w:r>
        <w:rPr>
          <w:rFonts w:ascii="Calibri" w:cs="Calibri" w:eastAsia="Calibri" w:hAnsi="Calibri"/>
          <w:b/>
          <w:bCs/>
          <w:color w:val="FFFFFF"/>
          <w:sz w:val="32"/>
          <w:szCs w:val="32"/>
        </w:rPr>
        <w:t xml:space="preserve">3. Requisitos Funcionales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3.1 Módulo RF-01: Upload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6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Prioridad</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aceptar archivos CSV mediante interfaz drag &amp; drop o selector de archivos del sistema operativo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RF-01.2</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detectar automáticamente el delimitador del CSV (coma o punto y coma) contando ocurrencias en la primera línea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RF-01.3</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mapear automáticamente columnas estándar (customerID, tenure, MonthlyCharges, Contract, InternetService, PaymentMethod)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RF-01.4</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presentar un interfaz de mapeo manual de columnas cuando los nombres no coincidan con el estándar esperado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RF-01.5</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una tarjeta de estado tras la carga con: nombre del archivo, número de filas procesadas, número de clientes Critical y High detectados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RF-01.6</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mantener y mostrar un historial de cargas de la sesión actual, persistido en localStorage del navegador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RF-01.7</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restaurar el historial de sesiones anteriores al abrir la aplicación, mostrando un toast de notificación "Session restored"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Baja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RF-01.8</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automáticamente TotalCharges como tenure × MonthlyCharges cuando este campo no esté disponible o sea NaN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RF-01.9</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automáticamente NumServices como suma de los 9 campos de servicio (PhoneService, MultipleLines, OnlineSecurity, OnlineBackup, DeviceProtection, TechSupport, StreamingTV, StreamingMovies, PaperlessBilling)</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RF-01.10</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botón de carga de dataset demo ("IBM Telco demo dataset") que genera 500 clientes sintéticos representativos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3.2 Módulo RF-02: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6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Prioridad</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4 KPI cards primarias: Churn Rate (%), Capital at Risk (€), Customers Loaded (n), Model AUC-ROC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RF-02.2</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4 KPI cards secundarias: Avg Tenure Churned (meses), Avg Monthly Churned (€), Avg Score Critical Tier (%), Model Accuracy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RF-02.3</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un gráfico de barras de tasa de churn por tipo de contrato (Month-to-month / One year / Two year)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RF-02.4</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un gráfico de barras de tasa de churn por ciclo de vida del cliente (TenureGroup: New / Junior / Mid / Loyal)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RF-02.5</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un gráfico de barras de tasa de churn por tipo de servicio de internet (DSL / Fiber Optic / No)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RF-02.6</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generar un gráfico de distribución de clientes por tier de riesgo (Low / Moderate / High / Critical)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RF-02.7</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clic sobre una tarjeta de tier en el Overview debe navegar al módulo At-Risk List con el filtro de ese tier preseleccionado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RF-02.8</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botón "Print / Save PDF" que invoca window.print() con estilos de impresión que eliminan controles interactivos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Baja</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3.3 Módulo RF-03: At-Risk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6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Prioridad</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una tabla con todos los clientes cargados, con columnas: #, CustomerID, Churn Prob (%), Risk Tier, Tenure, Monthly €, Contract, Internet, Action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RF-03.2</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La tabla debe estar ordenada por defecto por P(churn) descendente (clientes de mayor riesgo primero)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RF-03.3</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Cada columna de la tabla debe ser clickable para ordenar de forma ascendente o descendente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RF-03.4</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La tabla debe implementar paginación con PAGE_SIZE = 50 registros por página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RF-03.5</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selector desplegable de filtro por Risk Tier (All / Low / Moderate / High / Critical)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RF-03.6</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selector desplegable de filtro por Contract (All / Month-to-month / One year / Two year)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RF-03.7</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selector desplegable de filtro por Internet Service (All / DSL / Fiber optic / No)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RF-03.8</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dos sliders (rango mínimo y máximo de probabilidad) para filtrar por P(churn) en el rango [0,1]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RF-03.9</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Todos los filtros deben aplicarse con lógica AND (intersección de condiciones)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RF-03.10</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contador de resultados debe actualizarse dinámicamente: "Showing X of Y customers"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RF-03.11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botón "Export CSV" debe generar un archivo descargable con columnas: Rank, CustomerID, ChurnProb%, RiskTier, RecommendedAction, Tenure_mo, MonthlyCharges_EUR, Contract, InternetService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3.4 Módulo RF-04: Risk Predictor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6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Prioridad</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formulario de 23 parámetros para evaluar el riesgo de un cliente individual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RF-04.2</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Los parámetros deben estar organizados en 3 secciones por nivel de impacto: "Critical Factors" (factores más predictivos), "Important Factors" (impacto medio), "Secondary Factors" (impacto bajo)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RF-04.3</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La predicción debe calcularse en tiempo real a medida que el usuario modifica los parámetros del formulario</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RF-04.4</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resultado debe mostrar: probabilidad de churn en %, badge del tier de riesgo con color semántico, y recomendación de acción específica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RF-04.5</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un gauge visual (barra de progreso de 0 a 100%) representando P(churn)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RF-04.6</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calcular y mostrar los top-5 factores que más contribuyen a la predicción, ordenados por |scaled_i × coef_i| descendente, con signo de dirección (↑ aumenta riesgo / ↓ lo reduce)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RF-04.7</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TotalCharges debe auto-calcularse como tenure × MonthlyCharges cuando el usuario modifica esos campos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RF-04.8</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NumServices debe auto-calcularse como suma de los servicios binarios seleccionados en el formulario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3.5 Módulo RF-05: Model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326"/>
        <w:gridCol w:w="15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6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Prioridad</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RF-05.1</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una tabla comparativa de los 4 modelos evaluados con columnas: Modelo, Accuracy, AUC-OVR, Wtd F1, CV AUC, Error Cost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RF-05.2</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modelo Logistic Regression OVR debe estar marcado como "SELECTED" en la tabla comparativa</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RF-05.3</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un gráfico de barras horizontales con los top-15 coeficientes estandarizados del modelo, con color semántico (positivo = riesgo, negativo = protector)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RF-05.4</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 hay datos cargados, el sistema debe mostrar una sección "Live Dataset Statistics" con estadísticas calculadas del CSV actual (churn rate, avg monthly, avg tenure, n Critical, % M-to-M)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RF-05.5</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proveer un botón "Export Python Script" que genera y descarga un fichero .py con los coeficientes embebidos y función de scoring</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RF-05.6</w:t>
            </w:r>
          </w:p>
        </w:tc>
        <w:tc>
          <w:tcPr>
            <w:tcW w:type="dxa" w:w="6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la fórmula matemática de la predicción: estandarización, log-odds y sigmoid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RF-05.7</w:t>
            </w:r>
          </w:p>
        </w:tc>
        <w:tc>
          <w:tcPr>
            <w:tcW w:type="dxa" w:w="6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sistema debe mostrar la sección "Cross-Model Feature Importance" con el top-10 de variables más importantes según consenso de los 3 modelos base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r>
    </w:tbl>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4" w:id="1"/>
      <w:r>
        <w:rPr>
          <w:rFonts w:ascii="Calibri" w:cs="Calibri" w:eastAsia="Calibri" w:hAnsi="Calibri"/>
          <w:b/>
          <w:bCs/>
          <w:color w:val="FFFFFF"/>
          <w:sz w:val="32"/>
          <w:szCs w:val="32"/>
        </w:rPr>
        <w:t xml:space="preserve">4. Requisitos No Funcionales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4.1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44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Criterio de aceptación</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RNF-01</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Tiempo de carga del fichero HTML</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 2 segundos en conexión LAN estándar</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RNF-02</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Tiempo de scoring por lote</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 1 segundo para 7.043 clientes en hardware moderno (CPU 2 GHz+, RAM 4 GB+)</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RNF-03</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Capacidad máxima de registros</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50.000 clientes (límite de memoria del navegador estimado)</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RNF-04</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Tiempo de respuesta del Risk Predictor</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 100 ms desde modificación de parámetro hasta actualización del resultado</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RNF-05</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Tiempo de generación del CSV de exportación</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 500 ms para 7.043 registros</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RNF-06</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Tiempo de renderizado de gráficos Canvas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&lt; 300 ms por gráfico tras la carga de datos</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4.2 Seguridad y privacidad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4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Implementación</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RNF-07</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Sin transmisión de datos a servidores externos</w:t>
            </w:r>
          </w:p>
        </w:tc>
        <w:tc>
          <w:tcPr>
            <w:tcW w:type="dxa" w:w="4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Toda la lógica es client-side (JavaScript). No existen llamadas XHR/fetch a APIs externas</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RNF-08</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Sin almacenamiento persistente de datos sensibles</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Los datos de clientes solo residen en memoria RAM del navegador (variables JS). Solo el historial de nombres de archivo se persiste en localStorage</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RNF-09</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Sanitización de inputs</w:t>
            </w:r>
          </w:p>
        </w:tc>
        <w:tc>
          <w:tcPr>
            <w:tcW w:type="dxa" w:w="4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Los valores de texto de clientes (customerID, etc.) se escapan al insertar en el DOM para prevenir ataques XSS</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Sin dependencias externas en runtime</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fichero HTML es autocontenido. No carga scripts, estilos ni fuentes de CDNs externos en tiempo de ejecución</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Validación de tipos de entrada</w:t>
            </w:r>
          </w:p>
        </w:tc>
        <w:tc>
          <w:tcPr>
            <w:tcW w:type="dxa" w:w="4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tenure debe ser ≥ 0; MonthlyCharges &gt; 0; Contract debe ser uno de {Month-to-month, One year, Two year}</w:t>
            </w:r>
          </w:p>
        </w:tc>
      </w:tr>
    </w:tbl>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580C" w:sz="4"/>
              <w:left w:val="single" w:color="EA580C" w:sz="8"/>
              <w:bottom w:val="single" w:color="CBD5E1" w:sz="1"/>
              <w:right w:val="single" w:color="CBD5E1" w:sz="1"/>
            </w:tcBorders>
            <w:shd w:fill="FFF7ED" w:val="clear"/>
            <w:tcMar>
              <w:top w:type="dxa" w:w="120"/>
              <w:left w:type="dxa" w:w="200"/>
              <w:bottom w:type="dxa" w:w="120"/>
              <w:right w:type="dxa" w:w="200"/>
            </w:tcMar>
          </w:tcPr>
          <w:p>
            <w:pPr>
              <w:spacing w:after="80" w:before="60"/>
            </w:pPr>
            <w:r>
              <w:rPr>
                <w:rFonts w:ascii="Calibri" w:cs="Calibri" w:eastAsia="Calibri" w:hAnsi="Calibri"/>
                <w:b/>
                <w:bCs/>
                <w:color w:val="1E293B"/>
                <w:sz w:val="20"/>
                <w:szCs w:val="20"/>
              </w:rPr>
              <w:t xml:space="preserve">Nota importante:</w:t>
            </w:r>
            <w:r>
              <w:rPr>
                <w:rFonts w:ascii="Calibri" w:cs="Calibri" w:eastAsia="Calibri" w:hAnsi="Calibri"/>
                <w:color w:val="1E293B"/>
                <w:sz w:val="20"/>
                <w:szCs w:val="20"/>
              </w:rPr>
              <w:t xml:space="preserve"> ChurnGuard v7 no implementa autenticación de usuarios ni control de acceso. Para uso con datos de clientes reales en producción, debe desplegarse dentro de una intranet corporativa con Single Sign-On (SSO) o detrás de un proxy autenticado (e.g. SharePoint, Confluence, servidor web con LDAP).</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4.3 Disponibilidad y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44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Criterio de aceptación</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RNF-12</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Funcionamiento offline completo</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La aplicación debe funcionar sin conexión a Internet tras la carga inicial</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RNF-13</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Compatibilidad de navegadores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Chrome 90+, Firefox 88+, Safari 14+, Edge 90+ (ES6+ requerido)</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RNF-14</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Portabilidad del fichero</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Un único fichero .html (110,7 KB) — no requiere instalación, dependencias, Node.js ni Python</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RNF-15</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Distribución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fichero puede distribuirse por correo electrónico, intranet, repositorio de ficheros o USB</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RNF-16</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Dispositivos objetivo</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Desktop y laptop (1280×768 mínimo). No optimizado para móvil</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4.4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Requisito</w:t>
            </w:r>
          </w:p>
        </w:tc>
        <w:tc>
          <w:tcPr>
            <w:tcW w:type="dxa" w:w="44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Criterio de aceptación</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RNF-17</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Actualización del modelo</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Los coeficientes del modelo (const MODEL = {...}) están definidos en una sección claramente delimitada del código JS, actualizables sin refactorización</w:t>
            </w:r>
          </w:p>
        </w:tc>
      </w:tr>
      <w:tr>
        <w:trPr>
          <w:tblHeader w:val="false"/>
        </w:trP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RNF-18</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Comentarios de sección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código JavaScript está organizado en secciones delimitadas por comentarios de bloque (// ═══) que permiten localizar cualquier componente en &lt; 30 segundos</w:t>
            </w:r>
          </w:p>
        </w:tc>
      </w:tr>
      <w:tr>
        <w:trPr>
          <w:tblHeader w:val="false"/>
        </w:trP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RNF-19</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Exportación del modelo</w:t>
            </w:r>
          </w:p>
        </w:tc>
        <w:tc>
          <w:tcPr>
            <w:tcW w:type="dxa" w:w="44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 botón "Export Python Script" genera código Python directamente replicable, facilitando auditorías y reentrenamiento</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4.5 Limitaciones documentadas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8"/>
              <w:bottom w:val="single" w:color="CBD5E1" w:sz="1"/>
              <w:right w:val="single" w:color="CBD5E1" w:sz="1"/>
            </w:tcBorders>
            <w:shd w:fill="EFF6FF" w:val="clear"/>
            <w:tcMar>
              <w:top w:type="dxa" w:w="120"/>
              <w:left w:type="dxa" w:w="200"/>
              <w:bottom w:type="dxa" w:w="120"/>
              <w:right w:type="dxa" w:w="200"/>
            </w:tcMar>
          </w:tcPr>
          <w:p>
            <w:pPr>
              <w:spacing w:after="80" w:before="60"/>
            </w:pPr>
            <w:r>
              <w:rPr>
                <w:rFonts w:ascii="Calibri" w:cs="Calibri" w:eastAsia="Calibri" w:hAnsi="Calibri"/>
                <w:b/>
                <w:bCs/>
                <w:color w:val="1E293B"/>
                <w:sz w:val="20"/>
                <w:szCs w:val="20"/>
              </w:rPr>
              <w:t xml:space="preserve">Limitaciones conocidas del sistema v7:</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Modelo estático: los coeficientes no se actualizan automáticamente con nuevos datos. Se recomienda revisión anual o cuando la tasa de churn real se desvíe &gt; 5pp del valor esperado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Dataset de origen USA: los coeficientes del modelo fueron calibrados sobre el IBM Telco Dataset (California, 2019). Para mercados europeos o latinoamericanos, se requiere recalibración con datos locales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Sin historial temporal: la aplicación no rastrea la evolución de P(churn) de un cliente a lo largo del tiempo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Aproximación de TotalCharges: cuando no está disponible, se calcula como tenure × MonthlyCharges, sin considerar cargos por servicios adicionales, penalizaciones ni promociones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Sin autenticación integrada: no apto para datos reales sensibles sin wrapper de seguridad corporativo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Límite de 50.000 registros por sesión: limitación de la gestión de memoria en el navegador</w:t>
            </w:r>
          </w:p>
        </w:tc>
      </w:tr>
    </w:tbl>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5" w:id="1"/>
      <w:r>
        <w:rPr>
          <w:rFonts w:ascii="Calibri" w:cs="Calibri" w:eastAsia="Calibri" w:hAnsi="Calibri"/>
          <w:b/>
          <w:bCs/>
          <w:color w:val="FFFFFF"/>
          <w:sz w:val="32"/>
          <w:szCs w:val="32"/>
        </w:rPr>
        <w:t xml:space="preserve">5. Pipeline ETL y Preparación de Datos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5.1 Arquitectura del pipeline de datos</w:t>
      </w:r>
    </w:p>
    <w:p>
      <w:pPr>
        <w:spacing w:after="80" w:before="60"/>
      </w:pPr>
      <w:r>
        <w:rPr>
          <w:rFonts w:ascii="Calibri" w:cs="Calibri" w:eastAsia="Calibri" w:hAnsi="Calibri"/>
          <w:color w:val="1E293B"/>
          <w:sz w:val="20"/>
          <w:szCs w:val="20"/>
        </w:rPr>
        <w:t xml:space="preserve">El pipeline de procesamiento de datos consta de cuatro notebooks Python ejecutados secuencialmente. Cada notebook tiene una responsabilidad única y genera uno o más artefactos que sirven como inputs a los notebooks posteriores y a los sistemas de visualización.</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526"/>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Notebook</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Responsabilidad</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Input</w:t>
            </w:r>
          </w:p>
        </w:tc>
        <w:tc>
          <w:tcPr>
            <w:tcW w:type="dxa" w:w="15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Output</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NB01 — Extract &amp; QC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Inventario de calidad: NaN, dtypes, outliers, contradicciones lógicas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WA_Fn-UseC_-Telco-Customer-Churn.csv (raw)</w:t>
            </w:r>
          </w:p>
        </w:tc>
        <w:tc>
          <w:tcPr>
            <w:tcW w:type="dxa" w:w="1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Reporte de calidad. 11 NaN en TotalCharges detectados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NB02 — Clean &amp; Transform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Limpieza, transformación y feature engineering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telco_raw.csv</w:t>
            </w:r>
          </w:p>
        </w:tc>
        <w:tc>
          <w:tcPr>
            <w:tcW w:type="dxa" w:w="1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 (24 col) + telco_model_ready.csv (23 features ML)</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NB03 — SQLite + SQL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Carga en base de datos relacional y 6 queries de negocio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w:t>
            </w:r>
          </w:p>
        </w:tc>
        <w:tc>
          <w:tcPr>
            <w:tcW w:type="dxa" w:w="1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churn.db + resultados de 6 consultas SQL analíticas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 — ML Training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Entrenamiento, evaluación y comparación de 3 modelos ML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telco_model_ready.csv</w:t>
            </w:r>
          </w:p>
        </w:tc>
        <w:tc>
          <w:tcPr>
            <w:tcW w:type="dxa" w:w="1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Coeficientes LR, métricas de los 3 modelos, cost matrix, validación externa</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NB05b — Stacking Ensemble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ensemble LR+RF+GB con meta-learner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telco_model_ready.csv</w:t>
            </w:r>
          </w:p>
        </w:tc>
        <w:tc>
          <w:tcPr>
            <w:tcW w:type="dxa" w:w="1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Stacking AUC 0,9978, Critical Recall 98,0% (investigación adicional)</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5.2 Transformaciones NB02 — telco_clean.csv (dashboard y análisis)</w:t>
      </w:r>
    </w:p>
    <w:p>
      <w:pPr>
        <w:spacing w:after="80" w:before="60"/>
      </w:pPr>
      <w:r>
        <w:rPr>
          <w:rFonts w:ascii="Calibri" w:cs="Calibri" w:eastAsia="Calibri" w:hAnsi="Calibri"/>
          <w:b/>
          <w:bCs/>
          <w:color w:val="1E293B"/>
          <w:sz w:val="20"/>
          <w:szCs w:val="20"/>
        </w:rPr>
        <w:t xml:space="preserve">Propósito:</w:t>
      </w:r>
      <w:r>
        <w:rPr>
          <w:rFonts w:ascii="Calibri" w:cs="Calibri" w:eastAsia="Calibri" w:hAnsi="Calibri"/>
          <w:color w:val="1E293B"/>
          <w:sz w:val="20"/>
          <w:szCs w:val="20"/>
        </w:rPr>
        <w:t xml:space="preserve"> dataset limpio para exploración, dashboard Power BI y análisis de negocio. Contiene 7.043 filas × 24 columnas, con variables en formato legible (categorías originales, no OHE).</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Transformaciones aplicadas: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Campo</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Transformación</w:t>
            </w:r>
          </w:p>
        </w:tc>
        <w:tc>
          <w:tcPr>
            <w:tcW w:type="dxa" w:w="3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Justificación</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TotalCharges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Cast a float; 11 NaN imputados con tenure × MonthlyCharges</w:t>
            </w:r>
          </w:p>
        </w:tc>
        <w:tc>
          <w:tcPr>
            <w:tcW w:type="dxa" w:w="3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 clientes con tenure=0 no tenían TotalCharges. Imputación coherente con la realidad de negocio</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SeniorCitizen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Entero {0,1} → string {Yes, No}</w:t>
            </w:r>
          </w:p>
        </w:tc>
        <w:tc>
          <w:tcPr>
            <w:tcW w:type="dxa" w:w="3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Consistencia con el resto de variables categóricas binarias para análisis descriptivo</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MultipleLines, OnlineSecurity, etc.</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"No phone service" / "No internet service" → "No"</w:t>
            </w:r>
          </w:p>
        </w:tc>
        <w:tc>
          <w:tcPr>
            <w:tcW w:type="dxa" w:w="3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Colapso de categorías para simplificar: el servicio no está activo independientemente de la causa</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NumServices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Nueva columna: suma de 9 servicios activos (binario, rango 1-9)</w:t>
            </w:r>
          </w:p>
        </w:tc>
        <w:tc>
          <w:tcPr>
            <w:tcW w:type="dxa" w:w="3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Feature engineered: proxy de profundidad de relación con la empresa</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TenureGroup</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Nueva columna: New (0-12m) / Junior (13-24m) / Mid (25-48m) / Loyal (49-72m)</w:t>
            </w:r>
          </w:p>
        </w:tc>
        <w:tc>
          <w:tcPr>
            <w:tcW w:type="dxa" w:w="3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Feature engineered: ciclo de vida del cliente para análisis de cohortes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IsAutoPayment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Nueva columna: 1 si Bank transfer (automatic) o Credit card (automatic); 0 si manual</w:t>
            </w:r>
          </w:p>
        </w:tc>
        <w:tc>
          <w:tcPr>
            <w:tcW w:type="dxa" w:w="3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Feature engineered: el pago automático es un proxy de intención de permanencia</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5.3 Transformaciones NB02 — telco_model_ready.csv (entrenamiento ML)</w:t>
      </w:r>
    </w:p>
    <w:p>
      <w:pPr>
        <w:spacing w:after="80" w:before="60"/>
      </w:pPr>
      <w:r>
        <w:rPr>
          <w:rFonts w:ascii="Calibri" w:cs="Calibri" w:eastAsia="Calibri" w:hAnsi="Calibri"/>
          <w:b/>
          <w:bCs/>
          <w:color w:val="1E293B"/>
          <w:sz w:val="20"/>
          <w:szCs w:val="20"/>
        </w:rPr>
        <w:t xml:space="preserve">Propósito:</w:t>
      </w:r>
      <w:r>
        <w:rPr>
          <w:rFonts w:ascii="Calibri" w:cs="Calibri" w:eastAsia="Calibri" w:hAnsi="Calibri"/>
          <w:color w:val="1E293B"/>
          <w:sz w:val="20"/>
          <w:szCs w:val="20"/>
        </w:rPr>
        <w:t xml:space="preserve"> dataset específicamente preparado para el entrenamiento del modelo de Machine Learning. Contiene 7.043 filas × 23 features (todas numéricas, ninguna cadena de texto) + 1 variable objetivo (Churn binario).</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Transformaciones adicionales sobre telco_clean.csv: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Transformación</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Detalle</w:t>
            </w:r>
          </w:p>
        </w:tc>
        <w:tc>
          <w:tcPr>
            <w:tcW w:type="dxa" w:w="2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Features resultantes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Label Encoding — variables binarias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Yes → 1, No → 0 para: Gender, SeniorCitizen, Partner, Dependents, PhoneService, MultipleLines, OnlineSecurity, OnlineBackup, DeviceProtection, TechSupport, StreamingTV, StreamingMovies, PaperlessBilling</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13 features binarias numéricas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Ordinal Encoding — Contract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Month-to-month → 0, One year → 1, Two year → 2</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 feature ordinal</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OHE — InternetService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DSL → IS_DSL=1, IS_Fiber=0; Fiber optic → IS_DSL=0, IS_Fiber=1; No → IS_DSL=0, IS_Fiber=0 (baseline)</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 features dummy (baseline=No)</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OHE — PaymentMethod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Credit card → PM_Credit=1; Electronic check → PM_Elec=1; Mailed check → PM_Mail=1; Bank transfer → baseline=0 para todas</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 features dummy (baseline=Bank transfer)</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Variables continuas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Tenure, MonthlyCharges, TotalCharges — mantenidas como valores numéricos</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 features continuas</w:t>
            </w:r>
          </w:p>
        </w:tc>
      </w:tr>
      <w:tr>
        <w:trPr>
          <w:tblHeader w:val="false"/>
        </w:trP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Feature engineered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NumServices (1-9) — incluida directamente</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 feature calculada</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StandardScaler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Estandarización μ=0, σ=1 de todas las features antes del entrenamiento (medias y desviaciones típicas exportadas al modelo)</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Aplicado a las 23 features</w:t>
            </w:r>
          </w:p>
        </w:tc>
      </w:tr>
    </w:tbl>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8"/>
              <w:bottom w:val="single" w:color="CBD5E1" w:sz="1"/>
              <w:right w:val="single" w:color="CBD5E1" w:sz="1"/>
            </w:tcBorders>
            <w:shd w:fill="EFF6FF" w:val="clear"/>
            <w:tcMar>
              <w:top w:type="dxa" w:w="120"/>
              <w:left w:type="dxa" w:w="200"/>
              <w:bottom w:type="dxa" w:w="120"/>
              <w:right w:type="dxa" w:w="200"/>
            </w:tcMar>
          </w:tcPr>
          <w:p>
            <w:pPr>
              <w:spacing w:after="80" w:before="60"/>
            </w:pPr>
            <w:r>
              <w:rPr>
                <w:rFonts w:ascii="Calibri" w:cs="Calibri" w:eastAsia="Calibri" w:hAnsi="Calibri"/>
                <w:b/>
                <w:bCs/>
                <w:color w:val="1E293B"/>
                <w:sz w:val="20"/>
                <w:szCs w:val="20"/>
              </w:rPr>
              <w:t xml:space="preserve">Orden de features en el modelo (posiciones 0–22):</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Gender(0), Senior Citizen(1), Has Partner(2), Has Dependents(3), Tenure(4),</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Phone Service(5), Multiple Lines(6), Online Security(7), Online Backup(8),</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Device Protection(9), Tech Support(10), Streaming TV(11), Streaming Movies(12),</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Contract Type(13), Paperless Billing(14), Monthly Charges(15), Total Charges(16),</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Num Services(17), Internet: DSL(18), Internet: Fiber Optic(19),</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Payment: Credit Card(20), Payment: Electronic Check(21), Payment: Mailed Check(22)</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5.4 Consultas SQL de negocio — NB03</w:t>
      </w:r>
    </w:p>
    <w:p>
      <w:pPr>
        <w:spacing w:after="80" w:before="60"/>
      </w:pPr>
      <w:r>
        <w:rPr>
          <w:rFonts w:ascii="Calibri" w:cs="Calibri" w:eastAsia="Calibri" w:hAnsi="Calibri"/>
          <w:color w:val="1E293B"/>
          <w:sz w:val="20"/>
          <w:szCs w:val="20"/>
        </w:rPr>
        <w:t xml:space="preserve">Se cargó telco_clean.csv en una base de datos SQLite (churn.db) y se ejecutaron 6 consultas analíticas para validación y extracción de conocimiento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Query</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Objetivo</w:t>
            </w:r>
          </w:p>
        </w:tc>
        <w:tc>
          <w:tcPr>
            <w:tcW w:type="dxa" w:w="5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Resultado clave</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Tasa de churn global</w:t>
            </w:r>
          </w:p>
        </w:tc>
        <w:tc>
          <w:tcPr>
            <w:tcW w:type="dxa" w:w="5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26,5% (1.869 / 7.043)</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 por tipo de contrato</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M-to-M: 42,7% vs Two year: 2,8% — ratio 15×</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Capital perdido por segmento de servicio</w:t>
            </w:r>
          </w:p>
        </w:tc>
        <w:tc>
          <w:tcPr>
            <w:tcW w:type="dxa" w:w="5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Fiber optic acumula 58% del capital perdido total</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Distribución de pagos entre churners</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45,3% de churners usan Electronic check</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Q5</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Capital histórico total de clientes churned</w:t>
            </w:r>
          </w:p>
        </w:tc>
        <w:tc>
          <w:tcPr>
            <w:tcW w:type="dxa" w:w="5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€2.862.927 = SUM(TotalCharges WHERE Churn=1)</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Top 182 clientes de mayor riesgo compuesto</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Clientes con: M-to-M + Fiber + E-check + tenure &lt; 12m</w:t>
            </w:r>
          </w:p>
        </w:tc>
      </w:tr>
    </w:tbl>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6" w:id="1"/>
      <w:r>
        <w:rPr>
          <w:rFonts w:ascii="Calibri" w:cs="Calibri" w:eastAsia="Calibri" w:hAnsi="Calibri"/>
          <w:b/>
          <w:bCs/>
          <w:color w:val="FFFFFF"/>
          <w:sz w:val="32"/>
          <w:szCs w:val="32"/>
        </w:rPr>
        <w:t xml:space="preserve">6. Modelo Machine Learning — Especificación Técnica</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6.1 Justificación de la clasificación multi-clase</w:t>
      </w:r>
    </w:p>
    <w:p>
      <w:pPr>
        <w:spacing w:after="80" w:before="60"/>
      </w:pPr>
      <w:r>
        <w:rPr>
          <w:rFonts w:ascii="Calibri" w:cs="Calibri" w:eastAsia="Calibri" w:hAnsi="Calibri"/>
          <w:color w:val="1E293B"/>
          <w:sz w:val="20"/>
          <w:szCs w:val="20"/>
        </w:rPr>
        <w:t xml:space="preserve">El sistema implementa clasificación supervisada multi-clase en cuatro niveles de riesgo (Low / Moderate / High / Critical), en contraste con la clasificación binaria (churn / no-churn) convencional. Esta decisión está fundamentada en dos principios de negocio y una referencia académica consolidada.</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Fundamento de negocio:</w:t>
      </w:r>
    </w:p>
    <w:p>
      <w:pPr>
        <w:spacing w:after="80" w:before="60"/>
      </w:pPr>
      <w:r>
        <w:rPr>
          <w:rFonts w:ascii="Calibri" w:cs="Calibri" w:eastAsia="Calibri" w:hAnsi="Calibri"/>
          <w:color w:val="1E293B"/>
          <w:sz w:val="20"/>
          <w:szCs w:val="20"/>
        </w:rPr>
        <w:t xml:space="preserve">La clasificación binaria únicamente responde a "¿se va o no se va?", pero no informa sobre la urgencia ni sobre la acción óptima. Un cliente con P(churn) = 0,32 y uno con P(churn) = 0,91 requieren intervenciones radicalmente distintas en coste y urgencia. Verbeke et al. (2012) demostraron que los enfoques de segmentación por probabilidad de abandono generan mayor beneficio neto que los umbrales binarios clásicos, al permitir calibrar la intensidad de la intervención al nivel de riesgo.</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Fundamento académico:</w:t>
      </w:r>
    </w:p>
    <w:p>
      <w:pPr>
        <w:spacing w:after="80" w:before="60"/>
      </w:pPr>
      <w:r>
        <w:rPr>
          <w:rFonts w:ascii="Calibri" w:cs="Calibri" w:eastAsia="Calibri" w:hAnsi="Calibri"/>
          <w:color w:val="1E293B"/>
          <w:sz w:val="20"/>
          <w:szCs w:val="20"/>
        </w:rPr>
        <w:t xml:space="preserve">Văduva y Mocanu (2024) confirman en una revisión comparativa reciente que la segmentación por probabilidades OOF proporciona una base de segmentación más estable que los métodos de clustering post-hoc, especialmente en datasets de telecomunicaciones con alta dimensionalidad categórica. El enfoque seguido en ChurnGuard v7 está alineado con esta metodología.</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6.2 Metodología — Pipeline de dos pasos</w:t>
      </w:r>
    </w:p>
    <w:p>
      <w:pPr>
        <w:spacing w:after="80" w:before="60"/>
      </w:pPr>
      <w:r>
        <w:rPr>
          <w:rFonts w:ascii="Calibri" w:cs="Calibri" w:eastAsia="Calibri" w:hAnsi="Calibri"/>
          <w:color w:val="1E293B"/>
          <w:sz w:val="20"/>
          <w:szCs w:val="20"/>
        </w:rPr>
        <w:t xml:space="preserve">La construcción del sistema de clasificación multi-clase sigue un pipeline de dos pasos diseñado para evitar data leakage en la variable objetivo:</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Paso 1 — Generación de probabilidades OOF (Out-of-Fold):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NB04 — Paso 1: Generar probabilidades sin leakage</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from sklearn.model_selection import cross_val_predict, StratifiedKFold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from sklearn.linear_model import LogisticRegression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skf = StratifiedKFold(n_splits=5, shuffle=True, random_state=42)</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lr_binary = LogisticRegression(class_weight="balanced",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random_state=42, max_iter=1000)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Cada cliente recibe su probabilidad de un fold que NO lo vio</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oof_probas = cross_val_predict(</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lr_binary, X_scaled, y_binary,</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cv=skf, method="predict_proba"</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1]</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Discretizar probabilidades en 4 tiers</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y_risk = np.digitize(oof_probas, bins=[0.30, 0.50, 0.70])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0=Low, 1=Moderate, 2=High, 3=Critical</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Paso 2 — Entrenamiento del clasificador multi-clase OVR:</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NB04 — Paso 2: Entrenar clasificador sobre los tiers generados en Paso 1</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from sklearn.linear_model import LogisticRegression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lr_multiclass = LogisticRegression(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multi_class="ovr",</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class_weight="balanced",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random_state=42,</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max_iter=1000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lr_multiclass.fit(X_train_scaled, y_risk_train)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Métricas de evaluación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Accuracy: 0.9510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AUC-OVR: 0.9974</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Weighted F1: 0.9520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CV AUC: 0.9967 ± 0.0005</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Error cost (cost matrix 4x4): €7.425</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6.3 Aclaración metodológica sobre el AUC 0,9974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8"/>
              <w:bottom w:val="single" w:color="CBD5E1" w:sz="1"/>
              <w:right w:val="single" w:color="CBD5E1" w:sz="1"/>
            </w:tcBorders>
            <w:shd w:fill="EFF6FF" w:val="clear"/>
            <w:tcMar>
              <w:top w:type="dxa" w:w="120"/>
              <w:left w:type="dxa" w:w="200"/>
              <w:bottom w:type="dxa" w:w="120"/>
              <w:right w:type="dxa" w:w="200"/>
            </w:tcMar>
          </w:tcPr>
          <w:p>
            <w:pPr>
              <w:spacing w:after="80" w:before="60"/>
            </w:pPr>
            <w:r>
              <w:rPr>
                <w:rFonts w:ascii="Calibri" w:cs="Calibri" w:eastAsia="Calibri" w:hAnsi="Calibri"/>
                <w:b/>
                <w:bCs/>
                <w:color w:val="1E293B"/>
                <w:sz w:val="20"/>
                <w:szCs w:val="20"/>
              </w:rPr>
              <w:t xml:space="preserve">Declaración de transparencia metodológica:</w:t>
            </w:r>
          </w:p>
          <w:p>
            <w:pPr>
              <w:spacing w:after="40" w:before="0"/>
            </w:pPr>
            <w:r>
              <w:rPr>
                <w:rFonts w:ascii="Calibri" w:cs="Calibri" w:eastAsia="Calibri" w:hAnsi="Calibri"/>
                <w:color w:val="1E293B"/>
                <w:sz w:val="20"/>
                <w:szCs w:val="20"/>
              </w:rPr>
              <w:t xml:space="preserve"/>
            </w:r>
          </w:p>
          <w:p>
            <w:pPr>
              <w:spacing w:after="80" w:before="60"/>
            </w:pPr>
            <w:r>
              <w:rPr>
                <w:rFonts w:ascii="Calibri" w:cs="Calibri" w:eastAsia="Calibri" w:hAnsi="Calibri"/>
                <w:color w:val="1E293B"/>
                <w:sz w:val="20"/>
                <w:szCs w:val="20"/>
              </w:rPr>
              <w:t xml:space="preserve">El valor AUC-OVR de 0,9974 es una consecuencia conocida de la metodología empleada, no un indicador de data leakage ni de overfitting. Su interpretación correcta requiere distinguir entre consistencia del pipeline y poder predictivo genuino.</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Por qué el AUC es alto — consistencia circular:</w:t>
            </w:r>
          </w:p>
          <w:p>
            <w:pPr>
              <w:spacing w:after="80" w:before="60"/>
            </w:pPr>
            <w:r>
              <w:rPr>
                <w:rFonts w:ascii="Calibri" w:cs="Calibri" w:eastAsia="Calibri" w:hAnsi="Calibri"/>
                <w:color w:val="1E293B"/>
                <w:sz w:val="20"/>
                <w:szCs w:val="20"/>
              </w:rPr>
              <w:t xml:space="preserve">La variable objetivo y_risk (los cuatro tiers) fue construida en el Paso 1 discretizando las probabilidades OOF de un modelo de Logistic Regression. En el Paso 2, un segundo modelo de la misma familia (Logistic Regression OVR) intenta clasificar esos mismos tiers utilizando las mismas features. El clasificador del Paso 2 está esencialmente aprendiendo a recuperar los bordes de decisión que el Paso 1 definió — una tarea estructuralmente más sencilla que predecir comportamiento humano binario. Por esta razón, el AUC refleja la consistencia interna del pipeline más que el poder predictivo "en bruto" del sistema.</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Por qué no es data leakage — garantías técnicas:</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método cross_val_predict con StratifiedKFold(5) asegura que cada cliente recibe su probabilidad OOF de un fold que no lo incluyó en el entrenamiento. No existe auto-predicción.</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El split train/test se aplicó después de la generación de y_risk. El test set nunca fue visto durante la construcción de la variable objetivo.</w:t>
            </w:r>
          </w:p>
          <w:p>
            <w:pPr>
              <w:pStyle w:val="ListParagraph"/>
              <w:numPr>
                <w:ilvl w:val="0"/>
                <w:numId w:val="2"/>
              </w:numPr>
              <w:spacing w:after="40" w:before="40"/>
            </w:pPr>
            <w:r>
              <w:rPr>
                <w:rFonts w:ascii="Calibri" w:cs="Calibri" w:eastAsia="Calibri" w:hAnsi="Calibri"/>
                <w:b w:val="false"/>
                <w:bCs w:val="false"/>
                <w:color w:val="1E293B"/>
                <w:sz w:val="20"/>
                <w:szCs w:val="20"/>
              </w:rPr>
              <w:t xml:space="preserve">La estabilidad CV AUC = 0,9967 ± 0,0005 a lo largo de 5 folds confirma ausencia de overfitting. Alta varianza entre folds sería la señal diagnóstica de leakage.</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Validación externa — prueba contra Churn real:</w:t>
            </w:r>
          </w:p>
          <w:p>
            <w:pPr>
              <w:spacing w:after="80" w:before="60"/>
            </w:pPr>
            <w:r>
              <w:rPr>
                <w:rFonts w:ascii="Calibri" w:cs="Calibri" w:eastAsia="Calibri" w:hAnsi="Calibri"/>
                <w:color w:val="1E293B"/>
                <w:sz w:val="20"/>
                <w:szCs w:val="20"/>
              </w:rPr>
              <w:t xml:space="preserve">El test definitivo de validez del sistema es cruzar los tiers con la etiqueta Churn real, que en ningún momento fue utilizada para definir los umbrales ni entrenar los modelos: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26"/>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Tier</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Churn real (label)</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 del total</w:t>
                  </w:r>
                </w:p>
              </w:tc>
              <w:tc>
                <w:tcPr>
                  <w:tcW w:type="dxa" w:w="2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Revenue lost</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Low (P &lt; 30%)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4,8%</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42,1% de clientes</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~10% del revenue perdido</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Moderate (30-50%)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19,6%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16,5% de clientes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~12% del revenue perdido</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High (50-70%)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33,9%</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16,2% de clientes</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~18% del revenue perdido</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Critical (P &gt; 70%)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62,6%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25,2% de clientes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~60% del revenue perdido</w:t>
                  </w:r>
                </w:p>
              </w:tc>
            </w:tr>
          </w:tbl>
          <w:p>
            <w:pPr>
              <w:spacing w:after="40" w:before="0"/>
            </w:pPr>
            <w:r>
              <w:rPr>
                <w:rFonts w:ascii="Calibri" w:cs="Calibri" w:eastAsia="Calibri" w:hAnsi="Calibri"/>
                <w:color w:val="1E293B"/>
                <w:sz w:val="20"/>
                <w:szCs w:val="20"/>
              </w:rPr>
              <w:t xml:space="preserve"/>
            </w:r>
          </w:p>
          <w:p>
            <w:pPr>
              <w:spacing w:after="80" w:before="60"/>
            </w:pPr>
            <w:r>
              <w:rPr>
                <w:rFonts w:ascii="Calibri" w:cs="Calibri" w:eastAsia="Calibri" w:hAnsi="Calibri"/>
                <w:color w:val="1E293B"/>
                <w:sz w:val="20"/>
                <w:szCs w:val="20"/>
              </w:rPr>
              <w:t xml:space="preserve">La monotonía es perfecta: cada tier superior tiene mayor churn real que el inferior. El ratio Low→Critical es de 13×. El tier Critical (25% de los clientes) concentra el 60% del revenue total perdido por churn — un resultado de negocio que el modelo nunca optimizó directamente.</w:t>
            </w:r>
          </w:p>
          <w:p>
            <w:pPr>
              <w:spacing w:after="40" w:before="0"/>
            </w:pPr>
            <w:r>
              <w:rPr>
                <w:rFonts w:ascii="Calibri" w:cs="Calibri" w:eastAsia="Calibri" w:hAnsi="Calibri"/>
                <w:color w:val="1E293B"/>
                <w:sz w:val="20"/>
                <w:szCs w:val="20"/>
              </w:rPr>
              <w:t xml:space="preserve"/>
            </w:r>
          </w:p>
          <w:p>
            <w:pPr>
              <w:spacing w:after="80" w:before="60"/>
            </w:pPr>
            <w:r>
              <w:rPr>
                <w:rFonts w:ascii="Calibri" w:cs="Calibri" w:eastAsia="Calibri" w:hAnsi="Calibri"/>
                <w:color w:val="1E293B"/>
                <w:sz w:val="20"/>
                <w:szCs w:val="20"/>
              </w:rPr>
              <w:t xml:space="preserve">El perfil estructural de cada tier valida adicionalmente su coherencia: el 100% de los clientes Critical están en contratos mensuales (M-to-M), frente al 10% del tier Low. Esta "face validity" no es circular — refleja patrones de comportamiento reales del dataset.</w:t>
            </w:r>
          </w:p>
          <w:p>
            <w:pPr>
              <w:spacing w:after="60" w:before="0"/>
            </w:pPr>
            <w:r>
              <w:rPr>
                <w:rFonts w:ascii="Calibri" w:cs="Calibri" w:eastAsia="Calibri" w:hAnsi="Calibri"/>
                <w:color w:val="1E293B"/>
                <w:sz w:val="20"/>
                <w:szCs w:val="20"/>
              </w:rPr>
              <w:t xml:space="preserve"/>
            </w:r>
          </w:p>
          <w:p>
            <w:pPr>
              <w:pStyle w:val="Heading4"/>
              <w:spacing w:after="60" w:before="160"/>
            </w:pPr>
            <w:r>
              <w:rPr>
                <w:rFonts w:ascii="Calibri" w:cs="Calibri" w:eastAsia="Calibri" w:hAnsi="Calibri"/>
                <w:b/>
                <w:bCs/>
                <w:color w:val="475569"/>
                <w:sz w:val="21"/>
                <w:szCs w:val="21"/>
              </w:rPr>
              <w:t xml:space="preserve">Contexto de limitación — validación prospectiva:</w:t>
            </w:r>
          </w:p>
          <w:p>
            <w:pPr>
              <w:spacing w:after="80" w:before="60"/>
            </w:pPr>
            <w:r>
              <w:rPr>
                <w:rFonts w:ascii="Calibri" w:cs="Calibri" w:eastAsia="Calibri" w:hAnsi="Calibri"/>
                <w:color w:val="1E293B"/>
                <w:sz w:val="20"/>
                <w:szCs w:val="20"/>
              </w:rPr>
              <w:t xml:space="preserve">Una validación externa más sólida requeriría datos de soporte técnico (frecuencia de tickets), NPS o datos de comportamiento de navegación — columnas no disponibles en el dataset público IBM Telco. En un despliegue real, la metodología apropiada sería: scorear clientes en enero y medir el churn real y NPS por tier en Q3 (validación prospectiva). Esta limitación es intrínseca al dataset, no al pipeline metodológico.</w:t>
            </w:r>
          </w:p>
          <w:p>
            <w:pPr>
              <w:spacing w:after="40" w:before="0"/>
            </w:pPr>
            <w:r>
              <w:rPr>
                <w:rFonts w:ascii="Calibri" w:cs="Calibri" w:eastAsia="Calibri" w:hAnsi="Calibri"/>
                <w:color w:val="1E293B"/>
                <w:sz w:val="20"/>
                <w:szCs w:val="20"/>
              </w:rPr>
              <w:t xml:space="preserve"/>
            </w:r>
          </w:p>
          <w:p>
            <w:pPr>
              <w:spacing w:after="80" w:before="60"/>
            </w:pPr>
            <w:r>
              <w:rPr>
                <w:rFonts w:ascii="Calibri" w:cs="Calibri" w:eastAsia="Calibri" w:hAnsi="Calibri"/>
                <w:i/>
                <w:iCs/>
                <w:color w:val="475569"/>
                <w:sz w:val="20"/>
                <w:szCs w:val="20"/>
              </w:rPr>
              <w:t xml:space="preserve">Esta aproximación sigue la metodología de Verbeke et al. (2012) y está alineada con las prácticas de segmentación probabilística descritas en Văduva y Mocanu (2024).</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6.4 Comparación y selección de modelos</w:t>
      </w:r>
    </w:p>
    <w:p>
      <w:pPr>
        <w:spacing w:after="80" w:before="60"/>
      </w:pPr>
      <w:r>
        <w:rPr>
          <w:rFonts w:ascii="Calibri" w:cs="Calibri" w:eastAsia="Calibri" w:hAnsi="Calibri"/>
          <w:color w:val="1E293B"/>
          <w:sz w:val="20"/>
          <w:szCs w:val="20"/>
        </w:rPr>
        <w:t xml:space="preserve">Se evaluaron cuatro configuraciones de modelo. El criterio de selección principal fue el coste total de error calculado mediante la matriz de costes 4×4, no el AUC. Esta elección refleja la asimetría económica real: no detectar un cliente Critical (FN) cuesta €1.531,80 en LTV perdido, mientras que una intervención innecesaria (FP Low) cuesta entre €5 y €50.</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100"/>
        <w:gridCol w:w="1200"/>
        <w:gridCol w:w="1100"/>
        <w:gridCol w:w="526"/>
      </w:tblGrid>
      <w:tr>
        <w:trPr>
          <w:tblHeader/>
        </w:trPr>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Modelo</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Accuracy</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AUC-OVR</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Wtd F1</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CV AUC</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Error Cost</w:t>
            </w:r>
          </w:p>
        </w:tc>
        <w:tc>
          <w:tcPr>
            <w:tcW w:type="dxa" w:w="5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Deployment</w:t>
            </w:r>
          </w:p>
        </w:tc>
      </w:tr>
      <w:tr>
        <w:trPr>
          <w:tblHeader w:val="false"/>
        </w:trP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Logistic Regression OVR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0,9510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0,9974</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0,9520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0,9967</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16A34A"/>
                <w:sz w:val="19"/>
                <w:szCs w:val="19"/>
              </w:rPr>
              <w:t xml:space="preserve">€7.425</w:t>
            </w:r>
          </w:p>
        </w:tc>
        <w:tc>
          <w:tcPr>
            <w:tcW w:type="dxa" w:w="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bCs/>
                <w:color w:val="16A34A"/>
                <w:sz w:val="19"/>
                <w:szCs w:val="19"/>
              </w:rPr>
              <w:t xml:space="preserve">✓ Seleccionado</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Stacking LR+RF+GB→LR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0,9603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0,9978</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0,9607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D9488"/>
                <w:sz w:val="19"/>
                <w:szCs w:val="19"/>
              </w:rPr>
              <w:t xml:space="preserve">€6.970</w:t>
            </w:r>
          </w:p>
        </w:tc>
        <w:tc>
          <w:tcPr>
            <w:tcW w:type="dxa" w:w="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No embebible en JS</w:t>
            </w:r>
          </w:p>
        </w:tc>
      </w:tr>
      <w:tr>
        <w:trPr>
          <w:tblHeader w:val="false"/>
        </w:trP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Gradient Boosting</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0,9063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0,9841</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0,9071</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0,9873</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EA580C"/>
                <w:sz w:val="19"/>
                <w:szCs w:val="19"/>
              </w:rPr>
              <w:t xml:space="preserve">€15.690</w:t>
            </w:r>
          </w:p>
        </w:tc>
        <w:tc>
          <w:tcPr>
            <w:tcW w:type="dxa" w:w="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Random Forest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0,8999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0,9823</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0,9002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0,9841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DC2626"/>
                <w:sz w:val="19"/>
                <w:szCs w:val="19"/>
              </w:rPr>
              <w:t xml:space="preserve">€19.985</w:t>
            </w:r>
          </w:p>
        </w:tc>
        <w:tc>
          <w:tcPr>
            <w:tcW w:type="dxa" w:w="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r>
    </w:tbl>
    <w:p>
      <w:pPr>
        <w:spacing w:after="60" w:before="0"/>
      </w:pPr>
      <w:r>
        <w:rPr>
          <w:rFonts w:ascii="Calibri" w:cs="Calibri" w:eastAsia="Calibri" w:hAnsi="Calibri"/>
          <w:color w:val="1E293B"/>
          <w:sz w:val="20"/>
          <w:szCs w:val="20"/>
        </w:rPr>
        <w:t xml:space="preserve"/>
      </w:r>
    </w:p>
    <w:p>
      <w:pPr>
        <w:spacing w:after="80" w:before="60"/>
      </w:pPr>
      <w:r>
        <w:rPr>
          <w:rFonts w:ascii="Calibri" w:cs="Calibri" w:eastAsia="Calibri" w:hAnsi="Calibri"/>
          <w:b/>
          <w:bCs/>
          <w:color w:val="1E293B"/>
          <w:sz w:val="20"/>
          <w:szCs w:val="20"/>
        </w:rPr>
        <w:t xml:space="preserve">Justificación de la elección de Logistic Regression sobre Stacking Ensemble:</w:t>
      </w:r>
      <w:r>
        <w:rPr>
          <w:rFonts w:ascii="Calibri" w:cs="Calibri" w:eastAsia="Calibri" w:hAnsi="Calibri"/>
          <w:color w:val="1E293B"/>
          <w:sz w:val="20"/>
          <w:szCs w:val="20"/>
        </w:rPr>
        <w:t xml:space="preserve"> aunque el Stacking Ensemble obtiene un coste de error marginalmente inferior (€6.970 vs €7.425) y Critical Recall del 98,0% frente al 96,9%, su arquitectura multi-modelo (3 estimadores base + meta-learner) no es directamente serializable en JavaScript. La implementación JavaScript requeriría emular 3 modelos completos (Logistic Regression, Random Forest, Gradient Boosting) más el meta-learner, incrementando la complejidad y el tamaño del fichero de forma no proporcional al beneficio marginal.</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6.5 Coeficientes embebidos del modelo</w:t>
      </w:r>
    </w:p>
    <w:p>
      <w:pPr>
        <w:spacing w:after="80" w:before="60"/>
      </w:pPr>
      <w:r>
        <w:rPr>
          <w:rFonts w:ascii="Calibri" w:cs="Calibri" w:eastAsia="Calibri" w:hAnsi="Calibri"/>
          <w:color w:val="1E293B"/>
          <w:sz w:val="20"/>
          <w:szCs w:val="20"/>
        </w:rPr>
        <w:t xml:space="preserve">Los parámetros del modelo Logistic Regression binario (utilizado para el scoring en tiempo real en la aplicación) están embebidos como constantes JavaScript:</w:t>
      </w:r>
    </w:p>
    <w:p>
      <w:pPr>
        <w:spacing w:after="40" w:before="0"/>
      </w:pPr>
      <w:r>
        <w:rPr>
          <w:rFonts w:ascii="Calibri" w:cs="Calibri" w:eastAsia="Calibri" w:hAnsi="Calibri"/>
          <w:color w:val="1E293B"/>
          <w:sz w:val="20"/>
          <w:szCs w:val="20"/>
        </w:rPr>
        <w:t xml:space="preserve"/>
      </w:r>
    </w:p>
    <w:p>
      <w:pPr>
        <w:pBdr>
          <w:left w:val="single" w:color="2563EB" w:sz="6"/>
        </w:pBdr>
        <w:shd w:fill="F8FAFC" w:val="clear"/>
        <w:spacing w:after="30" w:before="30"/>
        <w:ind w:left="400"/>
      </w:pPr>
      <w:r>
        <w:rPr>
          <w:rFonts w:ascii="Consolas" w:cs="Consolas" w:eastAsia="Consolas" w:hAnsi="Consolas"/>
          <w:color w:val="0F4C81"/>
          <w:sz w:val="18"/>
          <w:szCs w:val="18"/>
        </w:rPr>
        <w:t xml:space="preserve">const MODEL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intercept: -0.6723,</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coefs: [-0.0265, 0.1837,-0.1502,-0.0724,-1.1479, 0.0183, 0.0821,-0.2956,</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-0.1234,-0.0943,-0.2334, 0.0612, 0.0489,-0.6058, 0.2145,-0.6493,</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0.3821,-0.1876, 0.5684, 1.2454,-0.1123, 0.4231, 0.1876],</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means:  [0.5046, 0.1621, 0.4832, 0.2994,32.37,  0.9043, 0.4215, 0.2887,</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0.3394, 0.3429, 0.2900, 0.3828, 0.3880, 0.7703, 0.5925,64.76,</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2283.3,  3.78,  0.3438, 0.4397, 0.2161, 0.3358, 0.2288],</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stds:   [0.5001, 0.3686, 0.4998, 0.4582,24.56,  0.2943, 0.4939, 0.4531,</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0.4736, 0.4748, 0.4537, 0.4861, 0.4874, 0.8253, 0.4913,30.09,</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2266.5,  1.97,  0.4749, 0.4965, 0.4117, 0.4723, 0.4202]</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Función de predicción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function predict(customer)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const scaled = MODEL.coefs.map((_, i) =&gt;</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(customer[i] - MODEL.means[i]) / MODEL.stds[i]);</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const z = MODEL.intercept + scaled.reduce((s, v, i) =&gt;</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s + v * MODEL.coefs[i], 0);</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return 1 / (1 + Math.exp(-z)); // sigmoid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6.6 Matriz de costes 4×4</w:t>
      </w:r>
    </w:p>
    <w:p>
      <w:pPr>
        <w:spacing w:after="80" w:before="60"/>
      </w:pPr>
      <w:r>
        <w:rPr>
          <w:rFonts w:ascii="Calibri" w:cs="Calibri" w:eastAsia="Calibri" w:hAnsi="Calibri"/>
          <w:color w:val="1E293B"/>
          <w:sz w:val="20"/>
          <w:szCs w:val="20"/>
        </w:rPr>
        <w:t xml:space="preserve">La selección del modelo se optimizó minimizando el coste total de clasificación incorrecta. Los costes reflejan la asimetría económica real de las decisiones de retención:</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750"/>
        <w:gridCol w:w="1750"/>
        <w:gridCol w:w="1276"/>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Predicho → / Real ↓</w:t>
            </w:r>
          </w:p>
        </w:tc>
        <w:tc>
          <w:tcPr>
            <w:tcW w:type="dxa" w:w="175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Pred: Low</w:t>
            </w:r>
          </w:p>
        </w:tc>
        <w:tc>
          <w:tcPr>
            <w:tcW w:type="dxa" w:w="175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Pred: Moderate</w:t>
            </w:r>
          </w:p>
        </w:tc>
        <w:tc>
          <w:tcPr>
            <w:tcW w:type="dxa" w:w="175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Pred: High</w:t>
            </w:r>
          </w:p>
        </w:tc>
        <w:tc>
          <w:tcPr>
            <w:tcW w:type="dxa" w:w="127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Pred: Critical</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Real: Low</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6A34A"/>
                <w:sz w:val="19"/>
                <w:szCs w:val="19"/>
              </w:rPr>
              <w:t xml:space="preserve">€0</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w:t>
            </w:r>
          </w:p>
        </w:tc>
        <w:tc>
          <w:tcPr>
            <w:tcW w:type="dxa" w:w="1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Real: Moderate</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6A34A"/>
                <w:sz w:val="19"/>
                <w:szCs w:val="19"/>
              </w:rPr>
              <w:t xml:space="preserve">€0</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w:t>
            </w:r>
          </w:p>
        </w:tc>
        <w:tc>
          <w:tcPr>
            <w:tcW w:type="dxa" w:w="127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Real: High</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DC2626"/>
                <w:sz w:val="19"/>
                <w:szCs w:val="19"/>
              </w:rPr>
              <w:t xml:space="preserve">€1.532</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€1.532</w:t>
            </w:r>
          </w:p>
        </w:tc>
        <w:tc>
          <w:tcPr>
            <w:tcW w:type="dxa"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6A34A"/>
                <w:sz w:val="19"/>
                <w:szCs w:val="19"/>
              </w:rPr>
              <w:t xml:space="preserve">€0</w:t>
            </w:r>
          </w:p>
        </w:tc>
        <w:tc>
          <w:tcPr>
            <w:tcW w:type="dxa" w:w="127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Real: Critical</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DC2626"/>
                <w:sz w:val="19"/>
                <w:szCs w:val="19"/>
              </w:rPr>
              <w:t xml:space="preserve">€1.532</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€1.532</w:t>
            </w:r>
          </w:p>
        </w:tc>
        <w:tc>
          <w:tcPr>
            <w:tcW w:type="dxa"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€1.532</w:t>
            </w:r>
          </w:p>
        </w:tc>
        <w:tc>
          <w:tcPr>
            <w:tcW w:type="dxa" w:w="127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6A34A"/>
                <w:sz w:val="19"/>
                <w:szCs w:val="19"/>
              </w:rPr>
              <w:t xml:space="preserve">€0</w:t>
            </w:r>
          </w:p>
        </w:tc>
      </w:tr>
    </w:tbl>
    <w:p>
      <w:pPr>
        <w:spacing w:after="60" w:before="0"/>
      </w:pPr>
      <w:r>
        <w:rPr>
          <w:rFonts w:ascii="Calibri" w:cs="Calibri" w:eastAsia="Calibri" w:hAnsi="Calibri"/>
          <w:color w:val="1E293B"/>
          <w:sz w:val="20"/>
          <w:szCs w:val="20"/>
        </w:rPr>
        <w:t xml:space="preserve"/>
      </w:r>
    </w:p>
    <w:p>
      <w:pPr>
        <w:spacing w:after="80" w:before="60"/>
      </w:pPr>
      <w:r>
        <w:rPr>
          <w:rFonts w:ascii="Calibri" w:cs="Calibri" w:eastAsia="Calibri" w:hAnsi="Calibri"/>
          <w:i/>
          <w:iCs/>
          <w:color w:val="475569"/>
          <w:sz w:val="20"/>
          <w:szCs w:val="20"/>
        </w:rPr>
        <w:t xml:space="preserve">Las celdas en rojo representan el coste de perder a un cliente de alto riesgo (FN de tier High/Critical = €1.531,80 = LTV medio de cliente churned). Las celdas en verde son clasificaciones correctas (coste €0). Las intervenciones sobre Moderate y High cuando el cliente es Low representan el coste real de la campaña (€5/€25/€50).</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7" w:id="1"/>
      <w:r>
        <w:rPr>
          <w:rFonts w:ascii="Calibri" w:cs="Calibri" w:eastAsia="Calibri" w:hAnsi="Calibri"/>
          <w:b/>
          <w:bCs/>
          <w:color w:val="FFFFFF"/>
          <w:sz w:val="32"/>
          <w:szCs w:val="32"/>
        </w:rPr>
        <w:t xml:space="preserve">7. Arquitectura del Sistema</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7.1 Decisión de arquitectura standalone</w:t>
      </w:r>
    </w:p>
    <w:p>
      <w:pPr>
        <w:spacing w:after="80" w:before="60"/>
      </w:pPr>
      <w:r>
        <w:rPr>
          <w:rFonts w:ascii="Calibri" w:cs="Calibri" w:eastAsia="Calibri" w:hAnsi="Calibri"/>
          <w:color w:val="1E293B"/>
          <w:sz w:val="20"/>
          <w:szCs w:val="20"/>
        </w:rPr>
        <w:t xml:space="preserve">ChurnGuard v7 adopta una arquitectura monolítica de fichero único (Single-File Application). Esta decisión prioriza la portabilidad, la ausencia de coste de infraestructura y la privacidad de los datos sobre la escalabilidad o la capacidad de actualización en tiempo real.</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Criterio</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Arquitectura standalone elegida</w:t>
            </w:r>
          </w:p>
        </w:tc>
        <w:tc>
          <w:tcPr>
            <w:tcW w:type="dxa" w:w="33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Alternativa rechazada (SaaS / API)</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Coste de infraestructura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€0 — sin servidor</w:t>
            </w:r>
          </w:p>
        </w:tc>
        <w:tc>
          <w:tcPr>
            <w:tcW w:type="dxa" w:w="3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€50-500/mes (cloud hosting)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Privacidad de datos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 — datos nunca salen del dispositivo</w:t>
            </w:r>
          </w:p>
        </w:tc>
        <w:tc>
          <w:tcPr>
            <w:tcW w:type="dxa" w:w="3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Datos de clientes en servidor de terceros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Instalación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Cero — doble clic y abrir</w:t>
            </w:r>
          </w:p>
        </w:tc>
        <w:tc>
          <w:tcPr>
            <w:tcW w:type="dxa" w:w="3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Instalación de Python, Node.js o Docker</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Disponibilidad offline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 — funciona sin internet</w:t>
            </w:r>
          </w:p>
        </w:tc>
        <w:tc>
          <w:tcPr>
            <w:tcW w:type="dxa" w:w="3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Requiere conectividad permanente</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Actualización del modelo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Manual (editar coeficientes)</w:t>
            </w:r>
          </w:p>
        </w:tc>
        <w:tc>
          <w:tcPr>
            <w:tcW w:type="dxa" w:w="3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Automática (retrain pipeline)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Escalabilidad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Limitada a 50.000 clientes</w:t>
            </w:r>
          </w:p>
        </w:tc>
        <w:tc>
          <w:tcPr>
            <w:tcW w:type="dxa" w:w="33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Millones de registros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Integración CRM</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Via CSV exportado</w:t>
            </w:r>
          </w:p>
        </w:tc>
        <w:tc>
          <w:tcPr>
            <w:tcW w:type="dxa" w:w="3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API directa posible</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7.2 Componentes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Componente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Tecnología</w:t>
            </w:r>
          </w:p>
        </w:tc>
        <w:tc>
          <w:tcPr>
            <w:tcW w:type="dxa" w:w="42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Responsabilidad</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Parser CSV</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JavaScript ES6 nativo</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Lectura de fichero, detección de delimitador, validación de columnas, mapeo de campos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Motor de scoring ML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JavaScript — const MODEL con coefs LR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Estandarización de features y cálculo sigmoid. Executa en &lt; 1ms por cliente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Motor de visualización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Canvas API nativo (sin librerías)</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Renderizado de 4 tipos de gráficos de barras + distribución de tiers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Módulo de filtrado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Array.filter() + Array.sort()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Filtrado compuesto AND y ordenación de la At-Risk List con lógica de páginas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Exportador CSV</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Blob API + URL.createObjectURL()</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Generación de fichero CSV descargable con headers y codificación UTF-8</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Persistencia de sesión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localStorage del navegador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Almacenamiento del historial de cargas (nombres de fichero y estadísticas, no datos sensibles)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Exportador Python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Template literals JavaScript</w:t>
            </w:r>
          </w:p>
        </w:tc>
        <w:tc>
          <w:tcPr>
            <w:tcW w:type="dxa" w:w="42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Generación dinámica de script .py con coeficientes embebidos y función score_customer()</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Estilos visuales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CSS inline + variables CSS</w:t>
            </w:r>
          </w:p>
        </w:tc>
        <w:tc>
          <w:tcPr>
            <w:tcW w:type="dxa" w:w="4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Dark theme coherente — background #0a0e1a, colores semánticos por tier</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7.3 Flujo de datos</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FLUJO DE DATOS — ChurnGuard v7</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[CSV File]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[CSV Parser]  →  detectar delimitador  →  validar columnas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mapear campos            auto-calcular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NumServices, TotalCharges si falta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[customers[]]  ←  Array de objetos JavaScript en RAM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[ML Scoring Engine]  →  P(churn) por cliente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intercept + Σ(coef_i × scaled_i) → sigmoid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getTier(pct) → Low/Moderate/High/Critical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[Overview Module]  →  KPIs + Canvas charts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[At-Risk List Module]  →  filter/sort/paginate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exportCSV() → Blob → download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[Risk Predictor]  →  real-time single prediction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top-5 factors → gauge → recommendation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 [Model Details]  →  live stats + coefficients chart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exportPythonScript() → .py download            </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8" w:id="1"/>
      <w:r>
        <w:rPr>
          <w:rFonts w:ascii="Calibri" w:cs="Calibri" w:eastAsia="Calibri" w:hAnsi="Calibri"/>
          <w:b/>
          <w:bCs/>
          <w:color w:val="FFFFFF"/>
          <w:sz w:val="32"/>
          <w:szCs w:val="32"/>
        </w:rPr>
        <w:t xml:space="preserve">8. Proceso de Desarrollo y Control de Versiones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8.1 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26"/>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Versión</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Objetivo</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Cambios principales</w:t>
            </w:r>
          </w:p>
        </w:tc>
        <w:tc>
          <w:tcPr>
            <w:tcW w:type="dxa" w:w="2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Métricas alcanzadas</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v1 — MVP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Estructura básica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 tabs funcionales (Upload/Overview/Predictor)</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8 errores E01-E08 identificados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v2 — Data fix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Calidad de datos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Parser CSV con quoted fields. TotalCharges auto-calculado</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CSV parsing robusto</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v3 — Binary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ML base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 tabs. Modelo binario LR. Tab Action &amp; ROI</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 0,8416. Recall 78,3%. Coste €128K</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v4 — Multi-class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OVR 4 tiers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 modelo multi-clase OVR. Umbrales 30/50/70%</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AUC-OVR 0,9974. Critical Recall 96,9%</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v5 — Stacking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Investigación ensemble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NB05b: Stacking LR+RF+GB → meta-LR</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 0,9978. Recall 98,0%. Coste €6.970</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v6 — UI redesign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Usabilidad avanzada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 tabs: At-Risk List + Model Details añadidos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 módulos completos</w:t>
            </w:r>
          </w:p>
        </w:tc>
      </w:tr>
      <w:tr>
        <w:trPr>
          <w:tblHeader w:val="false"/>
        </w:trP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v7 — Final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Producción completa</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Filtros avanzados. Python export. CSV export. Fix T01-T58</w:t>
            </w:r>
          </w:p>
        </w:tc>
        <w:tc>
          <w:tcPr>
            <w:tcW w:type="dxa" w:w="2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Accuracy 95,1%. 110,7 KB</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8.2 Errores corregidos v3 → v7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600"/>
        <w:gridCol w:w="1200"/>
        <w:gridCol w:w="2826"/>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ID</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Módulo</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Error detectado</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Severidad</w:t>
            </w:r>
          </w:p>
        </w:tc>
        <w:tc>
          <w:tcPr>
            <w:tcW w:type="dxa" w:w="2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Corrección</w:t>
            </w:r>
          </w:p>
        </w:tc>
      </w:tr>
      <w:tr>
        <w:trPr>
          <w:tblHeader w:val="false"/>
        </w:trP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E01</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Overview</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Ejes invertidos en gráfico Monthly Charges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Binning en rangos €0-30/€30-60/€60-90/€90+</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Predictor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Formulario sin jerarquía visual — 23 campos mezclados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 secciones por impacto: Critical/Important/Secondary</w:t>
            </w:r>
          </w:p>
        </w:tc>
      </w:tr>
      <w:tr>
        <w:trPr>
          <w:tblHeader w:val="false"/>
        </w:trP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E03</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Predictor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TotalCharges inconsistente con tenure×monthly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Auto-cálculo en tiempo real</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E04</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Umbrales 30/50/70% sin validación empírica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Validado con churn real: 4,8/19,6/33,9/62,6%</w:t>
            </w:r>
          </w:p>
        </w:tc>
      </w:tr>
      <w:tr>
        <w:trPr>
          <w:tblHeader w:val="false"/>
        </w:trP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E05</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ML</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Clasificación binaria — sin segmentación de riesgo</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Crítica</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multi-class OVR 4 tiers implementado</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E06</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Métricas sin cost matrix — FN críticos no penalizados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Cost matrix 4×4: FN Critical = €1.532</w:t>
            </w:r>
          </w:p>
        </w:tc>
      </w:tr>
      <w:tr>
        <w:trPr>
          <w:tblHeader w:val="false"/>
        </w:trP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E07</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At-Risk List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Sin exportación de lista de clientes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Alta</w:t>
            </w:r>
          </w:p>
        </w:tc>
        <w:tc>
          <w:tcPr>
            <w:tcW w:type="dxa" w:w="2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CSV export con BOM UTF-8 para CRM/Excel</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E08</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ROI</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ROI genérico para todos los tiers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Media</w:t>
            </w:r>
          </w:p>
        </w:tc>
        <w:tc>
          <w:tcPr>
            <w:tcW w:type="dxa" w:w="2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ROI estratificado: €5/€25/€50 por tier</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8.3 Tests de calidad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Tipo</w:t>
            </w:r>
          </w:p>
        </w:tc>
        <w:tc>
          <w:tcPr>
            <w:tcW w:type="dxa" w:w="4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Descripción</w:t>
            </w:r>
          </w:p>
        </w:tc>
        <w:tc>
          <w:tcPr>
            <w:tcW w:type="dxa" w:w="2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Casos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 — Tests funcionales</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¿Cada función hace lo que debe hacer?</w:t>
            </w:r>
          </w:p>
        </w:tc>
        <w:tc>
          <w:tcPr>
            <w:tcW w:type="dxa" w:w="2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28 casos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 — Tests de datos</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¿Los números son correctos respecto al dataset real?</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 casos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 — Tests de límites</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¿Qué ocurre con tenure=0, tenure=72, MonthlyCharges=€0?</w:t>
            </w:r>
          </w:p>
        </w:tc>
        <w:tc>
          <w:tcPr>
            <w:tcW w:type="dxa" w:w="2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12 casos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 — Tests de usuario</w:t>
            </w:r>
          </w:p>
        </w:tc>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¿Un no-técnico puede actuar sin entrenamiento?</w:t>
            </w:r>
          </w:p>
        </w:tc>
        <w:tc>
          <w:tcPr>
            <w:tcW w:type="dxa" w:w="2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 sesiones</w:t>
            </w:r>
          </w:p>
        </w:tc>
      </w:tr>
    </w:tbl>
    <w:p>
      <w:pPr>
        <w:spacing w:after="60" w:before="0"/>
      </w:pPr>
      <w:r>
        <w:rPr>
          <w:rFonts w:ascii="Calibri" w:cs="Calibri" w:eastAsia="Calibri" w:hAnsi="Calibri"/>
          <w:color w:val="1E293B"/>
          <w:sz w:val="20"/>
          <w:szCs w:val="20"/>
        </w:rPr>
        <w:t xml:space="preserve"/>
      </w:r>
    </w:p>
    <w:p>
      <w:pPr>
        <w:spacing w:after="80" w:before="60"/>
      </w:pPr>
      <w:r>
        <w:rPr>
          <w:rFonts w:ascii="Calibri" w:cs="Calibri" w:eastAsia="Calibri" w:hAnsi="Calibri"/>
          <w:color w:val="1E293B"/>
          <w:sz w:val="20"/>
          <w:szCs w:val="20"/>
        </w:rPr>
        <w:t xml:space="preserve">Errores detectados en testing corregidos en v7: T01 (CSV con comillas), T15 (Capital at Risk), T23 (filtro probability range), T27 (Two year + otros factores), T34 (nombres legibles en top-5), T39 (explicación AUC-OVR), T42 (Python script sintaxis), T46 (tooltips AUC), T51 (BOM UTF-8 CSV), T58 (NumServices auto).</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9" w:id="1"/>
      <w:r>
        <w:rPr>
          <w:rFonts w:ascii="Calibri" w:cs="Calibri" w:eastAsia="Calibri" w:hAnsi="Calibri"/>
          <w:b/>
          <w:bCs/>
          <w:color w:val="FFFFFF"/>
          <w:sz w:val="32"/>
          <w:szCs w:val="32"/>
        </w:rPr>
        <w:t xml:space="preserve">9. Propuesta de Valor y Retorno sobre la Inversión</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9.1 Campañas de retención estratificadas</w:t>
      </w:r>
    </w:p>
    <w:p>
      <w:pPr>
        <w:spacing w:after="80" w:before="60"/>
      </w:pPr>
      <w:r>
        <w:rPr>
          <w:rFonts w:ascii="Calibri" w:cs="Calibri" w:eastAsia="Calibri" w:hAnsi="Calibri"/>
          <w:color w:val="1E293B"/>
          <w:sz w:val="20"/>
          <w:szCs w:val="20"/>
        </w:rPr>
        <w:t xml:space="preserve">El sistema prescribe tres campañas de retención diferenciadas por nivel de riesgo, donde la inversión es proporcional al riesgo y al LTV potencial de cada segmento. Los parámetros de las campañas se basan en benchmarks del sector telecomunicaciones (Verbeke et al., 2012):</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900"/>
        <w:gridCol w:w="1100"/>
        <w:gridCol w:w="1200"/>
        <w:gridCol w:w="1100"/>
        <w:gridCol w:w="526"/>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Campaña</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Segmento</w:t>
            </w:r>
          </w:p>
        </w:tc>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Clientes</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Coste/cliente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Inversión total</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Ingresos salvados</w:t>
            </w:r>
          </w:p>
        </w:tc>
        <w:tc>
          <w:tcPr>
            <w:tcW w:type="dxa" w:w="1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Beneficio neto</w:t>
            </w:r>
          </w:p>
        </w:tc>
        <w:tc>
          <w:tcPr>
            <w:tcW w:type="dxa" w:w="5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ROI</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Email personalizado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Moderate Risk</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1.160</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€6.518</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€174.280</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€167.762</w:t>
            </w:r>
          </w:p>
        </w:tc>
        <w:tc>
          <w:tcPr>
            <w:tcW w:type="dxa" w:w="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2.572%</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Llamada proactiva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High Risk</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1.143</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€28.893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€260.537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€231.644</w:t>
            </w:r>
          </w:p>
        </w:tc>
        <w:tc>
          <w:tcPr>
            <w:tcW w:type="dxa" w:w="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793%</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Intervención VIP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Critical Risk</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1.777</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€87.534</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€544.635</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€457.101</w:t>
            </w:r>
          </w:p>
        </w:tc>
        <w:tc>
          <w:tcPr>
            <w:tcW w:type="dxa" w:w="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525%</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TOTAL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4.080</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€122.945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€979.452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E293B"/>
                <w:sz w:val="19"/>
                <w:szCs w:val="19"/>
              </w:rPr>
              <w:t xml:space="preserve">€856.507</w:t>
            </w:r>
          </w:p>
        </w:tc>
        <w:tc>
          <w:tcPr>
            <w:tcW w:type="dxa" w:w="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bCs/>
                <w:color w:val="16A34A"/>
                <w:sz w:val="19"/>
                <w:szCs w:val="19"/>
              </w:rPr>
              <w:t xml:space="preserve">697%</w:t>
            </w:r>
          </w:p>
        </w:tc>
      </w:tr>
    </w:tbl>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KPI de impacto</w:t>
            </w:r>
          </w:p>
        </w:tc>
        <w:tc>
          <w:tcPr>
            <w:tcW w:type="dxa" w:w="55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Valor</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ROI total de campaña</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697% — por cada €1 invertido, retorno de €6,97</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Clientes retenidos</w:t>
            </w:r>
          </w:p>
        </w:tc>
        <w:tc>
          <w:tcPr>
            <w:tcW w:type="dxa" w:w="5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1.097 (27% de tasa de retención sobre 4.080 contactados)</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Beneficio neto proyectado</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€856.507</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Cobertura de pérdidas anuales</w:t>
            </w:r>
          </w:p>
        </w:tc>
        <w:tc>
          <w:tcPr>
            <w:tcW w:type="dxa" w:w="5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15× (€856K cubre €57K de pérdida anual 15 veces)</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Punto de equilibrio</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Retener 138 de 1.097 clientes (12,6%) cubre el coste total de €122.945</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Valor neto por cliente retenido adicional</w:t>
            </w:r>
          </w:p>
        </w:tc>
        <w:tc>
          <w:tcPr>
            <w:tcW w:type="dxa" w:w="55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€893 / año</w:t>
            </w:r>
          </w:p>
        </w:tc>
      </w:tr>
    </w:tbl>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10" w:id="1"/>
      <w:r>
        <w:rPr>
          <w:rFonts w:ascii="Calibri" w:cs="Calibri" w:eastAsia="Calibri" w:hAnsi="Calibri"/>
          <w:b/>
          <w:bCs/>
          <w:color w:val="FFFFFF"/>
          <w:sz w:val="32"/>
          <w:szCs w:val="32"/>
        </w:rPr>
        <w:t xml:space="preserve">10. Trazabilidad de Datos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10.1 Tabla de trazabilidad — origen de cada número</w:t>
      </w:r>
    </w:p>
    <w:p>
      <w:pPr>
        <w:spacing w:after="80" w:before="60"/>
      </w:pPr>
      <w:r>
        <w:rPr>
          <w:rFonts w:ascii="Calibri" w:cs="Calibri" w:eastAsia="Calibri" w:hAnsi="Calibri"/>
          <w:color w:val="1E293B"/>
          <w:sz w:val="20"/>
          <w:szCs w:val="20"/>
        </w:rPr>
        <w:t xml:space="preserve">Conforme a los estándares de calidad de software (ISO/IEC 25010), toda cifra presentada en la aplicación tiene un origen verificable. La siguiente tabla constituye el audit trail completo del sistema.</w:t>
      </w:r>
    </w:p>
    <w:p>
      <w:pPr>
        <w:spacing w:after="6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gridCol w:w="826"/>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Número en la app</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Cálculo exacto</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Verificación</w:t>
            </w:r>
          </w:p>
        </w:tc>
        <w:tc>
          <w:tcPr>
            <w:tcW w:type="dxa" w:w="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Notebook</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 Rate 26,5%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1.869 / 7.043 = 0,2654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df["Churn"].value_counts(normalize=True)</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NB01</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Capital at Risk €2,86M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SUM(TotalCharges WHERE Churn=1)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SQL Query 5</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NB03</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Annual Net Loss €57.259</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€2.862.927 × 0,02 (margen)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Cálculo negocio</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NB03</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AUC-ROC 0,8416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roc_auc_score(y_test, proba) binario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LR binario</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NB04_a</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Accuracy 95,1%</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accuracy_score multiclass OVR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OVR LR</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AUC-OVR 0,9974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roc_auc_score(..., multi_class='ovr')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OVR LR</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CV AUC 0,9967 ± 0,0005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cross_val_score con SKF(5)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Estabilidad del modelo</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Critical Recall 96,9%</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344 / 355 clientes tier Critical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Confusion matrix 4×4</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Error Cost €7.425</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SUM(confusion_matrix × cost_matrix_4×4)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Cost matrix optimizada</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Low churn 4,8%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Tasa churn real en tier Low (OOF)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Validación externa</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Critical churn 62,6%</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Tasa churn real en tier Critical (OOF)</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Validación externa</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NB04_b</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Stacking AUC 0,9978</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Meta-learner LR sobre OOF (LR+RF+GB)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Ensemble OOF</w:t>
            </w:r>
          </w:p>
        </w:tc>
        <w:tc>
          <w:tcPr>
            <w:tcW w:type="dxa" w:w="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NB05b</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Stacking Recall 98,0%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348 / 355 · mejora +1,1pp vs LR base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Ensemble OOF</w:t>
            </w:r>
          </w:p>
        </w:tc>
        <w:tc>
          <w:tcPr>
            <w:tcW w:type="dxa" w:w="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NB05b</w:t>
            </w:r>
          </w:p>
        </w:tc>
      </w:tr>
    </w:tbl>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11" w:id="1"/>
      <w:r>
        <w:rPr>
          <w:rFonts w:ascii="Calibri" w:cs="Calibri" w:eastAsia="Calibri" w:hAnsi="Calibri"/>
          <w:b/>
          <w:bCs/>
          <w:color w:val="FFFFFF"/>
          <w:sz w:val="32"/>
          <w:szCs w:val="32"/>
        </w:rPr>
        <w:t xml:space="preserve">11. Interfaces Externas</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11.1 Interfaz de entrada — CSV de clientes</w:t>
      </w:r>
    </w:p>
    <w:p>
      <w:pPr>
        <w:spacing w:after="80" w:before="60"/>
      </w:pPr>
      <w:r>
        <w:rPr>
          <w:rFonts w:ascii="Calibri" w:cs="Calibri" w:eastAsia="Calibri" w:hAnsi="Calibri"/>
          <w:color w:val="1E293B"/>
          <w:sz w:val="20"/>
          <w:szCs w:val="20"/>
        </w:rPr>
        <w:t xml:space="preserve">ChurnGuard v7 acepta como entrada ficheros CSV con las siguientes especificaciones:</w:t>
      </w:r>
    </w:p>
    <w:p>
      <w:pPr>
        <w:spacing w:after="4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Parámetro</w:t>
            </w:r>
          </w:p>
        </w:tc>
        <w:tc>
          <w:tcPr>
            <w:tcW w:type="dxa" w:w="5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Especificación</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Formato de fichero</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.csv — texto plano con codificación UTF-8 o UTF-8 BOM</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Delimitador</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Coma (,) o punto y coma (;) — detección automática</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Primera fila</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Cabeceras de columna obligatorias</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Tamaño máximo</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50.000 filas (límite de memoria del navegador)</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Columnas mínimas obligatorias</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customerID, tenure, MonthlyCharges, Contract, InternetService, PaymentMethod</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Columnas opcionales</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TotalCharges (auto-calculado si falta), todos los servicios (PhoneService, MultipleLines, etc.)</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Campos binarios esperados</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"Yes" / "No" — case-insensitive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Campo Contract esperado</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"Month-to-month" / "One year" / "Two year"</w:t>
            </w:r>
          </w:p>
        </w:tc>
      </w:tr>
      <w:tr>
        <w:trPr>
          <w:tblHeader w:val="false"/>
        </w:trP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Campo InternetService esperado</w:t>
            </w:r>
          </w:p>
        </w:tc>
        <w:tc>
          <w:tcPr>
            <w:tcW w:type="dxa" w:w="5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"DSL" / "Fiber optic" / "No"</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Campo PaymentMethod esperado</w:t>
            </w:r>
          </w:p>
        </w:tc>
        <w:tc>
          <w:tcPr>
            <w:tcW w:type="dxa" w:w="5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"Electronic check" / "Mailed check" / "Bank transfer (automatic)" / "Credit card (automatic)"</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11.2 Interfaz de salida — CSV exportado</w:t>
      </w:r>
    </w:p>
    <w:p>
      <w:pPr>
        <w:spacing w:after="80" w:before="60"/>
      </w:pPr>
      <w:r>
        <w:rPr>
          <w:rFonts w:ascii="Calibri" w:cs="Calibri" w:eastAsia="Calibri" w:hAnsi="Calibri"/>
          <w:color w:val="1E293B"/>
          <w:sz w:val="20"/>
          <w:szCs w:val="20"/>
        </w:rPr>
        <w:t xml:space="preserve">La función "Export CSV" genera un fichero con las siguientes columnas:</w:t>
      </w:r>
    </w:p>
    <w:p>
      <w:pPr>
        <w:spacing w:after="4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Columna</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Tipo</w:t>
            </w:r>
          </w:p>
        </w:tc>
        <w:tc>
          <w:tcPr>
            <w:tcW w:type="dxa" w:w="50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Descripción</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Rank</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Integer</w:t>
            </w:r>
          </w:p>
        </w:tc>
        <w:tc>
          <w:tcPr>
            <w:tcW w:type="dxa" w:w="5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Posición en el ranking por P(churn) descendente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CustomerID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String</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Identificador del cliente del CSV original</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ChurnProb%</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Float [0-100]</w:t>
            </w:r>
          </w:p>
        </w:tc>
        <w:tc>
          <w:tcPr>
            <w:tcW w:type="dxa" w:w="5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Probabilidad de abandono en porcentaje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RiskTier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String</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Low / Moderate / High / Critical</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RecommendedAction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String</w:t>
            </w:r>
          </w:p>
        </w:tc>
        <w:tc>
          <w:tcPr>
            <w:tcW w:type="dxa" w:w="5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Acción de retención prescrita por el modelo</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Tenure_mo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Integer</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Antigüedad del cliente en meses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MonthlyCharges_EUR</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Float</w:t>
            </w:r>
          </w:p>
        </w:tc>
        <w:tc>
          <w:tcPr>
            <w:tcW w:type="dxa" w:w="5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Cuota mensual en euros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Contract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String</w:t>
            </w:r>
          </w:p>
        </w:tc>
        <w:tc>
          <w:tcPr>
            <w:tcW w:type="dxa" w:w="5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Tipo de contrato</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InternetService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String</w:t>
            </w:r>
          </w:p>
        </w:tc>
        <w:tc>
          <w:tcPr>
            <w:tcW w:type="dxa" w:w="50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Tipo de servicio de internet</w:t>
            </w:r>
          </w:p>
        </w:tc>
      </w:tr>
    </w:tbl>
    <w:p>
      <w:pPr>
        <w:spacing w:after="60" w:before="0"/>
      </w:pPr>
      <w:r>
        <w:rPr>
          <w:rFonts w:ascii="Calibri" w:cs="Calibri" w:eastAsia="Calibri" w:hAnsi="Calibri"/>
          <w:color w:val="1E293B"/>
          <w:sz w:val="20"/>
          <w:szCs w:val="20"/>
        </w:rPr>
        <w:t xml:space="preserve"/>
      </w:r>
    </w:p>
    <w:p>
      <w:pPr>
        <w:spacing w:after="80" w:before="60"/>
      </w:pPr>
      <w:r>
        <w:rPr>
          <w:rFonts w:ascii="Calibri" w:cs="Calibri" w:eastAsia="Calibri" w:hAnsi="Calibri"/>
          <w:i/>
          <w:iCs/>
          <w:color w:val="475569"/>
          <w:sz w:val="20"/>
          <w:szCs w:val="20"/>
        </w:rPr>
        <w:t xml:space="preserve">Codificación del fichero exportado: UTF-8 con BOM (\uFEFF) para compatibilidad con Microsoft Excel en Windows. Nota: la verificación del código fuente de ChurnGuard_v7.html indica que la exportación CSV no incluye el BOM en la implementación actual. Si se requiere compatibilidad Excel, debe añadirse manualmente antes del contenido CSV.</w:t>
      </w:r>
    </w:p>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11.3 Interfaz de salida — Script Python</w:t>
      </w:r>
    </w:p>
    <w:p>
      <w:pPr>
        <w:spacing w:after="80" w:before="60"/>
      </w:pPr>
      <w:r>
        <w:rPr>
          <w:rFonts w:ascii="Calibri" w:cs="Calibri" w:eastAsia="Calibri" w:hAnsi="Calibri"/>
          <w:color w:val="1E293B"/>
          <w:sz w:val="20"/>
          <w:szCs w:val="20"/>
        </w:rPr>
        <w:t xml:space="preserve">La función "Export Python Script" genera un fichero .py ejecutable con la siguiente estructura:</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churnguard_score.py — Auto-generado por ChurnGuard v7</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import numpy as np</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INTERCEPT = -0.6723</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COEFS = np.array([...])  # 23 coeficientes</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MEANS = np.array([...])  # 23 medias de estandarización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STDS  = np.array([...])  # 23 desviaciones típicas</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def score_customer(row: np.ndarray) -&gt; float:</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"""Devuelve P(churn) en [0,1] para un cliente."""</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scaled = (row - MEANS) / STDS</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z = INTERCEPT + np.dot(COEFS, scaled)</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return float(1 / (1 + np.exp(-z)))</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def score_dataframe(df: pd.DataFrame) -&gt; pd.DataFrame:</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"""Añade columnas ChurnProb, RiskTier, RecommendedAction."""</w:t>
      </w:r>
    </w:p>
    <w:p>
      <w:pPr>
        <w:pBdr>
          <w:left w:val="single" w:color="2563EB" w:sz="6"/>
        </w:pBdr>
        <w:shd w:fill="F8FAFC" w:val="clear"/>
        <w:spacing w:after="30" w:before="30"/>
        <w:ind w:left="400"/>
      </w:pPr>
      <w:r>
        <w:rPr>
          <w:rFonts w:ascii="Consolas" w:cs="Consolas" w:eastAsia="Consolas" w:hAnsi="Consolas"/>
          <w:color w:val="0F4C81"/>
          <w:sz w:val="18"/>
          <w:szCs w:val="18"/>
        </w:rPr>
        <w:t xml:space="preserve">    ...</w:t>
      </w:r>
    </w:p>
    <w:p>
      <w:pPr>
        <w:spacing w:after="80" w:before="0"/>
      </w:pPr>
      <w:r>
        <w:rPr>
          <w:rFonts w:ascii="Calibri" w:cs="Calibri" w:eastAsia="Calibri" w:hAnsi="Calibri"/>
          <w:color w:val="1E293B"/>
          <w:sz w:val="20"/>
          <w:szCs w:val="20"/>
        </w:rPr>
        <w:t xml:space="preserve"/>
      </w:r>
    </w:p>
    <w:p>
      <w:r>
        <w:br w:type="page"/>
      </w:r>
    </w:p>
    <w:p>
      <w:pPr>
        <w:pStyle w:val="Heading1"/>
        <w:pBdr>
          <w:bottom w:val="single" w:color="2563EB" w:sz="6" w:space="2"/>
        </w:pBdr>
        <w:shd w:fill="1E3A5F" w:val="clear"/>
        <w:spacing w:after="180" w:before="360"/>
      </w:pPr>
      <w:bookmarkStart w:name="sec12" w:id="1"/>
      <w:r>
        <w:rPr>
          <w:rFonts w:ascii="Calibri" w:cs="Calibri" w:eastAsia="Calibri" w:hAnsi="Calibri"/>
          <w:b/>
          <w:bCs/>
          <w:color w:val="FFFFFF"/>
          <w:sz w:val="32"/>
          <w:szCs w:val="32"/>
        </w:rPr>
        <w:t xml:space="preserve">12. Checklist de Entrega y Resumen Ejecutivo</w:t>
      </w:r>
      <w:bookmarkEnd w:id="1"/>
    </w:p>
    <w:p>
      <w:pPr>
        <w:pStyle w:val="Heading2"/>
        <w:pBdr>
          <w:bottom w:val="single" w:color="2563EB" w:sz="4" w:space="2"/>
        </w:pBdr>
        <w:spacing w:after="120" w:before="280"/>
      </w:pPr>
      <w:r>
        <w:rPr>
          <w:rFonts w:ascii="Calibri" w:cs="Calibri" w:eastAsia="Calibri" w:hAnsi="Calibri"/>
          <w:b/>
          <w:bCs/>
          <w:color w:val="2563EB"/>
          <w:sz w:val="26"/>
          <w:szCs w:val="26"/>
        </w:rPr>
        <w:t xml:space="preserve">12.1 Artefactos entregados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00"/>
        <w:gridCol w:w="1826"/>
      </w:tblGrid>
      <w:tr>
        <w:trPr>
          <w:tblHeader/>
        </w:trPr>
        <w:tc>
          <w:tcPr>
            <w:tcW w:type="dxa" w:w="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Artefacto</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Descripción</w:t>
            </w:r>
          </w:p>
        </w:tc>
        <w:tc>
          <w:tcPr>
            <w:tcW w:type="dxa" w:w="18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Tamaño / Formato</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ChurnGuard_v7.html</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Aplicación web standalone — 5 módulos — offline-first — zero-install</w:t>
            </w:r>
          </w:p>
        </w:tc>
        <w:tc>
          <w:tcPr>
            <w:tcW w:type="dxa" w:w="1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110,7 KB · HTML/JS/CSS</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telco_clean.csv</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Dataset limpio para análisis y dashboard — 24 columnas</w:t>
            </w:r>
          </w:p>
        </w:tc>
        <w:tc>
          <w:tcPr>
            <w:tcW w:type="dxa" w:w="1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7.043 × 24 · CSV UTF-8</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telco_model_ready.csv</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Dataset listo para ML — 23 features + Churn</w:t>
            </w:r>
          </w:p>
        </w:tc>
        <w:tc>
          <w:tcPr>
            <w:tcW w:type="dxa" w:w="1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7.043 × 24 · CSV UTF-8</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NB01_Extract.ipynb</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Quality Check — NaN, dtypes, outliers</w:t>
            </w:r>
          </w:p>
        </w:tc>
        <w:tc>
          <w:tcPr>
            <w:tcW w:type="dxa" w:w="1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Jupyter Notebook</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NB02_Clean.ipynb</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Limpieza, transformación, feature engineering</w:t>
            </w:r>
          </w:p>
        </w:tc>
        <w:tc>
          <w:tcPr>
            <w:tcW w:type="dxa" w:w="1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Jupyter Notebook</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NB03_SQLite.ipynb</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Carga relacional + 6 SQL queries de negocio</w:t>
            </w:r>
          </w:p>
        </w:tc>
        <w:tc>
          <w:tcPr>
            <w:tcW w:type="dxa" w:w="1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Jupyter Notebook</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NB04_ML.ipynb</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3 modelos ML + OVR + cost matrix + validación externa</w:t>
            </w:r>
          </w:p>
        </w:tc>
        <w:tc>
          <w:tcPr>
            <w:tcW w:type="dxa" w:w="1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Jupyter Notebook</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NB05b_Stacking.ipynb</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Stacking Ensemble — investigación adicional</w:t>
            </w:r>
          </w:p>
        </w:tc>
        <w:tc>
          <w:tcPr>
            <w:tcW w:type="dxa" w:w="1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Jupyter Notebook</w:t>
            </w:r>
          </w:p>
        </w:tc>
      </w:tr>
      <w:tr>
        <w:trPr>
          <w:tblHeader w:val="false"/>
        </w:trPr>
        <w:tc>
          <w:tcPr>
            <w:tcW w:type="dxa"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Churn_dashdoard_2.pbix</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Dashboard Power BI — 4 páginas — 15 medidas DAX</w:t>
            </w:r>
          </w:p>
        </w:tc>
        <w:tc>
          <w:tcPr>
            <w:tcW w:type="dxa" w:w="1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Power BI Desktop</w:t>
            </w:r>
          </w:p>
        </w:tc>
      </w:tr>
      <w:tr>
        <w:trPr>
          <w:tblHeader w:val="false"/>
        </w:trP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ChurnGuard_v7_Documentacion.docx</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Especificación técnica completa (este documento)</w:t>
            </w:r>
          </w:p>
        </w:tc>
        <w:tc>
          <w:tcPr>
            <w:tcW w:type="dxa" w:w="1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Word · IEEE 830</w:t>
            </w:r>
          </w:p>
        </w:tc>
      </w:tr>
    </w:tbl>
    <w:p>
      <w:pPr>
        <w:spacing w:after="80" w:before="0"/>
      </w:pPr>
      <w:r>
        <w:rPr>
          <w:rFonts w:ascii="Calibri" w:cs="Calibri" w:eastAsia="Calibri" w:hAnsi="Calibri"/>
          <w:color w:val="1E293B"/>
          <w:sz w:val="20"/>
          <w:szCs w:val="20"/>
        </w:rPr>
        <w:t xml:space="preserve"/>
      </w:r>
    </w:p>
    <w:p>
      <w:pPr>
        <w:pStyle w:val="Heading2"/>
        <w:pBdr>
          <w:bottom w:val="single" w:color="2563EB" w:sz="4" w:space="2"/>
        </w:pBdr>
        <w:spacing w:after="120" w:before="280"/>
      </w:pPr>
      <w:r>
        <w:rPr>
          <w:rFonts w:ascii="Calibri" w:cs="Calibri" w:eastAsia="Calibri" w:hAnsi="Calibri"/>
          <w:b/>
          <w:bCs/>
          <w:color w:val="2563EB"/>
          <w:sz w:val="26"/>
          <w:szCs w:val="26"/>
        </w:rPr>
        <w:t xml:space="preserve">12.2 Resumen ejecutivo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4"/>
              <w:left w:val="single" w:color="2563EB" w:sz="8"/>
              <w:bottom w:val="single" w:color="CBD5E1" w:sz="1"/>
              <w:right w:val="single" w:color="CBD5E1" w:sz="1"/>
            </w:tcBorders>
            <w:shd w:fill="EFF6FF" w:val="clear"/>
            <w:tcMar>
              <w:top w:type="dxa" w:w="120"/>
              <w:left w:type="dxa" w:w="200"/>
              <w:bottom w:type="dxa" w:w="120"/>
              <w:right w:type="dxa" w:w="200"/>
            </w:tcMar>
          </w:tcPr>
          <w:p>
            <w:pPr>
              <w:spacing w:after="40" w:before="80"/>
              <w:jc w:val="center"/>
            </w:pPr>
            <w:r>
              <w:rPr>
                <w:rFonts w:ascii="Calibri" w:cs="Calibri" w:eastAsia="Calibri" w:hAnsi="Calibri"/>
                <w:b/>
                <w:bCs/>
                <w:color w:val="2563EB"/>
                <w:sz w:val="26"/>
                <w:szCs w:val="26"/>
              </w:rPr>
              <w:t xml:space="preserve">ChurnGuard v7 — Resumen Ejecutivo</w:t>
            </w:r>
          </w:p>
          <w:p>
            <w:pPr>
              <w:spacing w:after="40" w:before="0"/>
            </w:pPr>
            <w:r>
              <w:rPr>
                <w:rFonts w:ascii="Calibri" w:cs="Calibri" w:eastAsia="Calibri" w:hAnsi="Calibri"/>
                <w:color w:val="1E293B"/>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626"/>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Dimensión</w:t>
                  </w:r>
                </w:p>
              </w:tc>
              <w:tc>
                <w:tcPr>
                  <w:tcW w:type="dxa" w:w="5626"/>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Calibri" w:cs="Calibri" w:eastAsia="Calibri" w:hAnsi="Calibri"/>
                      <w:b/>
                      <w:bCs/>
                      <w:color w:val="FFFFFF"/>
                      <w:sz w:val="19"/>
                      <w:szCs w:val="19"/>
                    </w:rPr>
                    <w:t xml:space="preserve">Resultado</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Sistema</w:t>
                  </w:r>
                </w:p>
              </w:tc>
              <w:tc>
                <w:tcPr>
                  <w:tcW w:type="dxa" w:w="5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Aplicación web standalone · HTML único · 110,7 KB · zero-install · offline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Dataset</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IBM Telco · 7.043 clientes · 21 variables originales · 23 features ML</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Modelo seleccionado</w:t>
                  </w:r>
                </w:p>
              </w:tc>
              <w:tc>
                <w:tcPr>
                  <w:tcW w:type="dxa" w:w="5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Logistic Regression OVR · AUC 0,9974 · Critical Recall 96,9% · Coste €7.425</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Reducción coste de error</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94,2% — de €128.397 (binario v3) a €7.425 (multi-clase v7)</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ROI campaña</w:t>
                  </w:r>
                </w:p>
              </w:tc>
              <w:tc>
                <w:tcPr>
                  <w:tcW w:type="dxa" w:w="5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697% — beneficio neto €856.507 sobre inversión €122.945</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Clientes retenidos</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1.097 — punto de equilibrio con retener sólo 138 (12,6%)</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Validación externa</w:t>
                  </w:r>
                </w:p>
              </w:tc>
              <w:tc>
                <w:tcPr>
                  <w:tcW w:type="dxa" w:w="56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Monotonía perfecta: 4,8% → 19,6% → 33,9% → 62,6% — ratio 13×</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Autora</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293B"/>
                      <w:sz w:val="19"/>
                      <w:szCs w:val="19"/>
                    </w:rPr>
                    <w:t xml:space="preserve">Natalia Stekolnikova · linkedin.com/in/natalia-stekolnikova · Abril 2026</w:t>
                  </w:r>
                </w:p>
              </w:tc>
            </w:tr>
          </w:tbl>
          <w:p/>
        </w:tc>
      </w:tr>
    </w:tbl>
    <w:p>
      <w:pPr>
        <w:spacing w:after="80" w:before="0"/>
      </w:pPr>
      <w:r>
        <w:rPr>
          <w:rFonts w:ascii="Calibri" w:cs="Calibri" w:eastAsia="Calibri" w:hAnsi="Calibri"/>
          <w:color w:val="1E293B"/>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026"/>
      </w:tabs>
      <w:spacing w:before="80"/>
    </w:pPr>
    <w:r>
      <w:rPr>
        <w:rFonts w:ascii="Calibri" w:cs="Calibri" w:eastAsia="Calibri" w:hAnsi="Calibri"/>
        <w:color w:val="94A3B8"/>
        <w:sz w:val="16"/>
        <w:szCs w:val="16"/>
      </w:rPr>
      <w:t xml:space="preserve">IEEE 830-1998 / ISO/IEC 29148:2018  ·  Proyecto Académico</w:t>
    </w:r>
    <w:r>
      <w:t xml:space="preserve">	</w:t>
    </w:r>
    <w:r>
      <w:rPr>
        <w:rFonts w:ascii="Calibri" w:cs="Calibri" w:eastAsia="Calibri" w:hAnsi="Calibri"/>
        <w:color w:val="94A3B8"/>
        <w:sz w:val="16"/>
        <w:szCs w:val="16"/>
      </w:rPr>
      <w:t xml:space="preserve">Pág.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spacing w:after="100"/>
    </w:pPr>
    <w:r>
      <w:rPr>
        <w:rFonts w:ascii="Calibri" w:cs="Calibri" w:eastAsia="Calibri" w:hAnsi="Calibri"/>
        <w:color w:val="475569"/>
        <w:sz w:val="18"/>
        <w:szCs w:val="18"/>
      </w:rPr>
      <w:t xml:space="preserve">ChurnGuard v7  ·  Software Requirements Specification</w:t>
    </w:r>
    <w:r>
      <w:t xml:space="preserve">	</w:t>
    </w:r>
    <w:r>
      <w:rPr>
        <w:rFonts w:ascii="Calibri" w:cs="Calibri" w:eastAsia="Calibri" w:hAnsi="Calibri"/>
        <w:color w:val="94A3B8"/>
        <w:sz w:val="16"/>
        <w:szCs w:val="16"/>
      </w:rPr>
      <w:t xml:space="preserve">Natalia Stekolnikova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FFFFF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E293B"/>
      <w:sz w:val="23"/>
      <w:szCs w:val="23"/>
    </w:rPr>
  </w:style>
  <w:style w:type="paragraph" w:styleId="Heading4">
    <w:name w:val="Heading 4"/>
    <w:basedOn w:val="Normal"/>
    <w:next w:val="Normal"/>
    <w:qFormat/>
    <w:pPr>
      <w:spacing w:after="60" w:before="160"/>
      <w:outlineLvl w:val="3"/>
    </w:pPr>
    <w:rPr>
      <w:rFonts w:ascii="Calibri" w:cs="Calibri" w:eastAsia="Calibri" w:hAnsi="Calibri"/>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ChurnGuard v7 — Software Requirements &amp; Technical Specification</dc:title>
  <dc:creator>Natalia Stekolnikova</dc:creator>
  <dc:description>IEEE 830 / ISO/IEC 29148 compliant specification for ChurnGuard v7</dc:description>
  <cp:lastModifiedBy>Un-named</cp:lastModifiedBy>
  <cp:revision>1</cp:revision>
  <dcterms:created xsi:type="dcterms:W3CDTF">2026-04-23T19:00:30.221Z</dcterms:created>
  <dcterms:modified xsi:type="dcterms:W3CDTF">2026-04-23T19:00:30.224Z</dcterms:modified>
</cp:coreProperties>
</file>

<file path=docProps/custom.xml><?xml version="1.0" encoding="utf-8"?>
<Properties xmlns="http://schemas.openxmlformats.org/officeDocument/2006/custom-properties" xmlns:vt="http://schemas.openxmlformats.org/officeDocument/2006/docPropsVTypes"/>
</file>