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87E"/>
        </w:rPr>
        <w:t>Minuta de Reunion</w:t>
      </w:r>
    </w:p>
    <w:p>
      <w:pPr>
        <w:pStyle w:val="Heading1"/>
      </w:pPr>
      <w:r>
        <w:rPr>
          <w:color w:val="1F487E"/>
        </w:rPr>
        <w:t>Informacion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gama-leasing-operativo-spa-modern-secops-2026-07-08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2026-04-27</w:t>
            </w:r>
          </w:p>
        </w:tc>
      </w:tr>
      <w:tr>
        <w:tc>
          <w:tcPr>
            <w:tcW w:type="dxa" w:w="4320"/>
          </w:tcPr>
          <w:p>
            <w:r>
              <w:t>Facilitador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Participantes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1F487E"/>
        </w:rPr>
        <w:t>Objetivo</w:t>
      </w:r>
    </w:p>
    <w:p/>
    <w:p>
      <w:pPr>
        <w:pStyle w:val="Heading1"/>
      </w:pPr>
      <w:r>
        <w:rPr>
          <w:color w:val="1F487E"/>
        </w:rPr>
        <w:t>Temas tratados</w:t>
      </w:r>
    </w:p>
    <w:p/>
    <w:p>
      <w:pPr>
        <w:pStyle w:val="Heading1"/>
      </w:pPr>
      <w:r>
        <w:rPr>
          <w:color w:val="1F487E"/>
        </w:rPr>
        <w:t>Acuerdos (Accion | Responsable | Fecha)</w:t>
      </w:r>
    </w:p>
    <w:p/>
    <w:p>
      <w:pPr>
        <w:pStyle w:val="Heading1"/>
      </w:pPr>
      <w:r>
        <w:rPr>
          <w:color w:val="1F487E"/>
        </w:rPr>
        <w:t>Riesgos y bloqueos</w:t>
      </w:r>
    </w:p>
    <w:p/>
    <w:p>
      <w:pPr>
        <w:pStyle w:val="Heading1"/>
      </w:pPr>
      <w:r>
        <w:rPr>
          <w:color w:val="1F487E"/>
        </w:rPr>
        <w:t>Proximos pasos</w:t>
      </w:r>
    </w:p>
    <w:p/>
    <w:p>
      <w:r>
        <w:br/>
        <w:t>Documento generado el 2026-04-27 por Project Coordinator 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