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87E"/>
        </w:rPr>
        <w:t>Resumen Ejecutivo</w:t>
      </w:r>
    </w:p>
    <w:p>
      <w:pPr>
        <w:pStyle w:val="Heading1"/>
      </w:pPr>
      <w:r>
        <w:rPr>
          <w:color w:val="1F487E"/>
        </w:rPr>
        <w:t>Datos del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gama-leasing-operativo-spa-modern-secops-2026-07-08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2026-04-27</w:t>
            </w:r>
          </w:p>
        </w:tc>
      </w:tr>
      <w:tr>
        <w:tc>
          <w:tcPr>
            <w:tcW w:type="dxa" w:w="4320"/>
          </w:tcPr>
          <w:p>
            <w:r>
              <w:t>Estado general</w:t>
            </w:r>
          </w:p>
        </w:tc>
        <w:tc>
          <w:tcPr>
            <w:tcW w:type="dxa" w:w="4320"/>
          </w:tcPr>
          <w:p>
            <w:r>
              <w:t>Verde / Amarillo / Rojo</w:t>
            </w:r>
          </w:p>
        </w:tc>
      </w:tr>
    </w:tbl>
    <w:p>
      <w:pPr>
        <w:pStyle w:val="Heading1"/>
      </w:pPr>
      <w:r>
        <w:rPr>
          <w:color w:val="1F487E"/>
        </w:rPr>
        <w:t>Avances clave</w:t>
      </w:r>
    </w:p>
    <w:p/>
    <w:p>
      <w:pPr>
        <w:pStyle w:val="Heading1"/>
      </w:pPr>
      <w:r>
        <w:rPr>
          <w:color w:val="1F487E"/>
        </w:rPr>
        <w:t>Pendientes criticos</w:t>
      </w:r>
    </w:p>
    <w:p/>
    <w:p>
      <w:pPr>
        <w:pStyle w:val="Heading1"/>
      </w:pPr>
      <w:r>
        <w:rPr>
          <w:color w:val="1F487E"/>
        </w:rPr>
        <w:t>Riesgos</w:t>
      </w:r>
    </w:p>
    <w:p/>
    <w:p>
      <w:pPr>
        <w:pStyle w:val="Heading1"/>
      </w:pPr>
      <w:r>
        <w:rPr>
          <w:color w:val="1F487E"/>
        </w:rPr>
        <w:t>Decisiones requeridas</w:t>
      </w:r>
    </w:p>
    <w:p/>
    <w:p>
      <w:pPr>
        <w:pStyle w:val="Heading1"/>
      </w:pPr>
      <w:r>
        <w:rPr>
          <w:color w:val="1F487E"/>
        </w:rPr>
        <w:t>Proxima semana</w:t>
      </w:r>
    </w:p>
    <w:p/>
    <w:p>
      <w:pPr>
        <w:pStyle w:val="Heading1"/>
      </w:pPr>
      <w:r>
        <w:rPr>
          <w:color w:val="1F487E"/>
        </w:rPr>
        <w:t>Tareas en seguimiento</w:t>
      </w:r>
    </w:p>
    <w:p>
      <w:pPr>
        <w:pStyle w:val="ListBullet"/>
      </w:pPr>
      <w:r>
        <w:t>- [ ] Tarea | Responsable | Prioridad | Fecha objetivo</w:t>
      </w:r>
    </w:p>
    <w:p>
      <w:pPr>
        <w:pStyle w:val="ListBullet"/>
      </w:pPr>
      <w:r>
        <w:t>- [ ] Tarea | Responsable | Progreso | Proximo hito</w:t>
      </w:r>
    </w:p>
    <w:p>
      <w:pPr>
        <w:pStyle w:val="ListBullet"/>
      </w:pPr>
      <w:r>
        <w:t>- [ ] Tarea | Bloqueo | Responsable desbloqueo | ETA</w:t>
      </w:r>
    </w:p>
    <w:p>
      <w:pPr>
        <w:pStyle w:val="ListBullet"/>
      </w:pPr>
      <w:r>
        <w:t>- [x]</w:t>
      </w:r>
    </w:p>
    <w:p>
      <w:r>
        <w:br/>
        <w:t>Documento generado el 2026-04-27 por Project Coordinator 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