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6. OOS Forecasting Performance — DJIA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MAE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QLIKE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LL_t_OOS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Delta_MSE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MCS_90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A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1.52674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1.23561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0.91270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-0.4999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0.61887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-1.1870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+38.55\%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1.10194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1.04973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0.71119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-0.0826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0.54932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-1.1756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1.10436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1.05089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0.72305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-0.0850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0.56111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-1.1745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+0.22\%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1.03542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1.01755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0.66871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-0.0172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0.50494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\textbf{-1.1595}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-6.04\%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1.09695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1.04735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0.68225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-0.0777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0.56333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-1.1814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-0.45\%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2.24243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1.49747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1.02717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-1.2030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0.78989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-1.2639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+103.50\%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1.13325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1.06454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0.74960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-0.1133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0.54099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-1.1710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+2.84\%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B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1.03761 ± 0.04414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1.01863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\textbf{0.65196 ± 0.08646}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-0.0194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0.53084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-1.1685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-5.84\%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1.05135 ± 0.00741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1.02536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0.67560 ± 0.01637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-0.0329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0.51616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-1.1733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-4.59\%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1.07541 ± 0.02041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1.03702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0.66321 ± 0.02213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-0.0565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0.54026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-1.1825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-2.41\%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1.11010 ± 0.08941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1.05361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0.78868 ± 0.11222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-0.0906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0.56198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-1.1752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+0.74\%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\textbf{1.01300 ± 0.09810}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\textbf{1.00648}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0.69379 ± 0.14274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\textbf{0.0048}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\textbf{0.50178}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-1.1632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-8.07\%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1.03009 ± 0.02067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1.01494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0.68357 ± 0.06073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-0.0120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0.50716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-1.1667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-6.52\%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C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LSTM-SSE-t-Student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1.20262 ± 0.06448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1.09664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0.88396 ± 0.04619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-0.1815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0.62194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-1.1889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+9.14\%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1.20977 ± 0.00004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1.09989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0.75715 ± 0.00002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-0.1885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0.55064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-1.1684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+9.79\%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D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1.51004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1.22884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1.07183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-0.4835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0.73318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-1.2249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+37.03\%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OOS window: 279 observations. Returns in 100×log-ret (pp); proxy ε²_t = centred squared return. QLIKE = T⁻¹Σ[lnσ̂²_t + ε²_t/σ̂²_t]. LL_t(OOS): per-obs avg Student-t log-likelihood evaluated OOS (all models). Δ%%MSE relative to GARCH(1,1); negative = improvement. MCS 90%% based on block-bootstrap QLIKE (B=10 000, block=20). Panel B: mean ± s.d. over S=10 seeds. Panel D: fixed at the training-split unconditional variance -- the minimum bar every other model should beat. DEGENERATE (src.eval.degeneracy): temporal coefficient of variation of the OOS σ̂²_t path &lt; 5%%, or MSE no better than Panel D's constant forecast. Standard errors Bollerslev–Wooldridge;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