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7. OOS Forecasting Performance — SP500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A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2.00740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1.41683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1.01764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-0.5981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0.67303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-1.2020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+51.30\%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1.32676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1.15185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0.70795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-0.0562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0.58989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1.33180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1.15404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0.72673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-0.0602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0.59146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+0.38\%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\textbf{1.27924}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\textbf{1.13104}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0.69498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\textbf{-0.0184}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0.53541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\textbf{-1.1381}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-3.58\%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1.30434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1.14208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\textbf{0.68017}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-0.0384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0.57223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-1.1548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-1.69\%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2.61587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1.61737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1.11212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-1.0825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0.82481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-1.2662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+97.16\%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1.40238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1.18422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0.76469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-0.1164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0.55637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-1.1594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+5.70\%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B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1.28378 ± 0.06776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1.13304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0.69864 ± 0.11872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-0.0220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0.57219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-1.1751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-3.24\%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1.29499 ± 0.01503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1.13798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0.71143 ± 0.01816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-0.0309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\textbf{0.52728}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-2.39\%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1.29714 ± 0.04492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1.13892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0.76259 ± 0.04402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-0.0326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0.53942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-1.1549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-2.23\%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1.39327 ± 0.09587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1.18037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0.86092 ± 0.09220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-0.1092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0.59838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-1.1750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+5.01\%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1.32602 ± 0.15224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1.15153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0.80779 ± 0.19006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-0.0556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0.57019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-1.1676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-0.06\%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1.34206 ± 0.25675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1.15847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0.81310 ± 0.23335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-0.0684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0.56775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-1.1635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+1.15\%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C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1.42683 ± 0.00247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1.19450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0.91443 ± 0.00107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-0.1359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0.63307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-1.1886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+7.54\%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1.54828 ± 0.00007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1.24430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0.83637 ± 0.00003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-0.2326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0.60477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-1.1796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+16.70\%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D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1.78570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1.33630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1.13381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-0.4216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0.75874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-1.2312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+34.59\%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279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Panel D: fixed at the training-split unconditional variance -- the minimum bar every other model should beat. DEGENERATE (src.eval.degeneracy): temporal coefficient of variation of the OOS σ̂²_t path &lt; 5%%, or MSE no better than Panel D's constant forecast.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