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Cross-Market OOS Performance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'Δ%MAE')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\textbf{+280.41}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\textbf{+19.91}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\textbf{+36.96}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+38.55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+28.33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+51.30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+43.75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+4.66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+4.44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-2.51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+124.51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+28.36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+9.79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+6.46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+16.70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+18.14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+6.40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-5.28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+42.59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+15.46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\underline{-6.57}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-3.64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-2.41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+7.72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\textbf{+87.58}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\textbf{+7.90}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\textbf{+21.79}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\textbf{+50.71}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\textbf{+34.59}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\textbf{+60.15}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+8.44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+7.06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+13.20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+33.23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-4.35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\underline{-1.00}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\underline{-3.71}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+8.73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\underline{+0.63}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\underline{-3.06}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-6.04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-5.97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-1.77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+5.95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+2.82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\textbf{+36.31}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-2.21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+5.54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+5.40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+5.70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+6.68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\underline{+0.74}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\underline{+10.90}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+21.61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\underline{-4.24}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\underline{-2.60}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-2.39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+10.67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-5.19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+9.14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+24.29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+7.54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+29.17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+4.30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-11.98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\textbf{+157.81}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\textbf{+133.64}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\textbf{+42.11}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\textbf{+53.18}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+103.50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+44.43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+97.16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+57.09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-23.46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\textbf{+12.60}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\textbf{-29.44}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-14.79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\underline{-8.07}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\underline{-2.45}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\underline{-4.14}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\underline{+1.75}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-17.48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\underline{-6.52}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\underline{-3.88}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+1.15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Percentage change relative to GARCH(1,1) (reference row shown as --). \textbf{Bold} = proposed model significantly beats this rival (positive DM stat, QLIKE, Holm-corrected p&lt;0.05); \underline{underlined} = this rival significantly beats the proposed model (negative DM stat, same test) -- these are opposite conclusions and were previously conflated under a single bold marker. Unmarked = not statistically significant. Negative Delta_%% = improvement over GARCH(1,1).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