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8. OOS Forecasting Performance — GOLD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RMSE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MAE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R2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QLIKE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LL_t_OOS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Delta_MSE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MCS_90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A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100.89405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10.04460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2.73544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-0.0408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3.07154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-2.0072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+4.66\%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96.39808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9.81825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3.08041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0.0056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2.03612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-1.8272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96.57420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9.82722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2.94646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0.0038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2.03828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-1.8250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+0.18\%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\textbf{95.68792}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\textbf{9.78202}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3.02597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\textbf{0.0129}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\textbf{1.95526}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\textbf{-1.8182}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-0.74\%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95.82440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9.78899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2.94993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0.0115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1.99978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-1.8217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-0.60\%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96.98643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9.84817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3.04774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-0.0005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2.05596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-1.8414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+0.61\%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B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C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LSTM-SSE-t-Student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100.54697 ± 1.22365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10.02731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2.72988 ± 0.03130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-0.0372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2.87353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-1.9826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+4.30\%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ARCH-LSTM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102.56736 ± 0.00021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10.12755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2.91771 ± 0.00002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-0.0580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3.20545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-2.0218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+6.40\%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D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Constant (unconditional variance)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101.33255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10.06641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\textbf{2.72721}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-0.0453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3.32587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-2.0489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+5.12\%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i/>
          <w:sz w:val="18"/>
        </w:rPr>
        <w:t>Note: OOS window: 279 observations. Returns in 100×log-ret (pp); proxy ε²_t = centred squared return. QLIKE = T⁻¹Σ[lnσ̂²_t + ε²_t/σ̂²_t]. LL_t(OOS): per-obs avg Student-t log-likelihood evaluated OOS (all models). Δ%%MSE relative to GARCH(1,1); negative = improvement. MCS 90%% based on block-bootstrap QLIKE (B=10 000, block=20). Panel B: mean ± s.d. over S=10 seeds. Panel D: fixed at the training-split unconditional variance -- the minimum bar every other model should beat. DEGENERATE (src.eval.degeneracy): temporal coefficient of variation of the OOS σ̂²_t path &lt; 5%%, or MSE no better than Panel D's constant forecast. Standard errors Bollerslev–Wooldridge; *** p&lt;0.01.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