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Table 10. Forecast-Encompassing Tests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665"/>
        <w:gridCol w:w="665"/>
        <w:gridCol w:w="665"/>
        <w:gridCol w:w="665"/>
        <w:gridCol w:w="665"/>
        <w:gridCol w:w="665"/>
        <w:gridCol w:w="665"/>
        <w:gridCol w:w="665"/>
        <w:gridCol w:w="665"/>
        <w:gridCol w:w="665"/>
        <w:gridCol w:w="665"/>
        <w:gridCol w:w="665"/>
        <w:gridCol w:w="665"/>
      </w:tblGrid>
      <w:tr>
        <w:tc>
          <w:tcPr>
            <w:tcW w:type="dxa" w:w="665"/>
          </w:tcPr>
          <w:p>
            <w:r>
              <w:rPr>
                <w:rFonts w:ascii="Times New Roman" w:hAnsi="Times New Roman"/>
                <w:sz w:val="20"/>
              </w:rPr>
              <w:t>Model</w:t>
            </w:r>
          </w:p>
        </w:tc>
        <w:tc>
          <w:tcPr>
            <w:tcW w:type="dxa" w:w="665"/>
          </w:tcPr>
          <w:p>
            <w:r>
              <w:rPr>
                <w:rFonts w:ascii="Times New Roman" w:hAnsi="Times New Roman"/>
                <w:sz w:val="20"/>
              </w:rPr>
              <w:t>('BTC-USD', 'β_cand')</w:t>
            </w:r>
          </w:p>
        </w:tc>
        <w:tc>
          <w:tcPr>
            <w:tcW w:type="dxa" w:w="665"/>
          </w:tcPr>
          <w:p>
            <w:r>
              <w:rPr>
                <w:rFonts w:ascii="Times New Roman" w:hAnsi="Times New Roman"/>
                <w:sz w:val="20"/>
              </w:rPr>
              <w:t>('BTC-USD', 'verdict')</w:t>
            </w:r>
          </w:p>
        </w:tc>
        <w:tc>
          <w:tcPr>
            <w:tcW w:type="dxa" w:w="665"/>
          </w:tcPr>
          <w:p>
            <w:r>
              <w:rPr>
                <w:rFonts w:ascii="Times New Roman" w:hAnsi="Times New Roman"/>
                <w:sz w:val="20"/>
              </w:rPr>
              <w:t>('ETH-USD', 'β_cand')</w:t>
            </w:r>
          </w:p>
        </w:tc>
        <w:tc>
          <w:tcPr>
            <w:tcW w:type="dxa" w:w="665"/>
          </w:tcPr>
          <w:p>
            <w:r>
              <w:rPr>
                <w:rFonts w:ascii="Times New Roman" w:hAnsi="Times New Roman"/>
                <w:sz w:val="20"/>
              </w:rPr>
              <w:t>('ETH-USD', 'verdict')</w:t>
            </w:r>
          </w:p>
        </w:tc>
        <w:tc>
          <w:tcPr>
            <w:tcW w:type="dxa" w:w="665"/>
          </w:tcPr>
          <w:p>
            <w:r>
              <w:rPr>
                <w:rFonts w:ascii="Times New Roman" w:hAnsi="Times New Roman"/>
                <w:sz w:val="20"/>
              </w:rPr>
              <w:t>('DJIA', 'β_cand')</w:t>
            </w:r>
          </w:p>
        </w:tc>
        <w:tc>
          <w:tcPr>
            <w:tcW w:type="dxa" w:w="665"/>
          </w:tcPr>
          <w:p>
            <w:r>
              <w:rPr>
                <w:rFonts w:ascii="Times New Roman" w:hAnsi="Times New Roman"/>
                <w:sz w:val="20"/>
              </w:rPr>
              <w:t>('DJIA', 'verdict')</w:t>
            </w:r>
          </w:p>
        </w:tc>
        <w:tc>
          <w:tcPr>
            <w:tcW w:type="dxa" w:w="665"/>
          </w:tcPr>
          <w:p>
            <w:r>
              <w:rPr>
                <w:rFonts w:ascii="Times New Roman" w:hAnsi="Times New Roman"/>
                <w:sz w:val="20"/>
              </w:rPr>
              <w:t>('SP500', 'β_cand')</w:t>
            </w:r>
          </w:p>
        </w:tc>
        <w:tc>
          <w:tcPr>
            <w:tcW w:type="dxa" w:w="665"/>
          </w:tcPr>
          <w:p>
            <w:r>
              <w:rPr>
                <w:rFonts w:ascii="Times New Roman" w:hAnsi="Times New Roman"/>
                <w:sz w:val="20"/>
              </w:rPr>
              <w:t>('SP500', 'verdict')</w:t>
            </w:r>
          </w:p>
        </w:tc>
        <w:tc>
          <w:tcPr>
            <w:tcW w:type="dxa" w:w="665"/>
          </w:tcPr>
          <w:p>
            <w:r>
              <w:rPr>
                <w:rFonts w:ascii="Times New Roman" w:hAnsi="Times New Roman"/>
                <w:sz w:val="20"/>
              </w:rPr>
              <w:t>('GOLD', 'β_cand')</w:t>
            </w:r>
          </w:p>
        </w:tc>
        <w:tc>
          <w:tcPr>
            <w:tcW w:type="dxa" w:w="665"/>
          </w:tcPr>
          <w:p>
            <w:r>
              <w:rPr>
                <w:rFonts w:ascii="Times New Roman" w:hAnsi="Times New Roman"/>
                <w:sz w:val="20"/>
              </w:rPr>
              <w:t>('GOLD', 'verdict')</w:t>
            </w:r>
          </w:p>
        </w:tc>
        <w:tc>
          <w:tcPr>
            <w:tcW w:type="dxa" w:w="665"/>
          </w:tcPr>
          <w:p>
            <w:r>
              <w:rPr>
                <w:rFonts w:ascii="Times New Roman" w:hAnsi="Times New Roman"/>
                <w:sz w:val="20"/>
              </w:rPr>
              <w:t>('OIL', 'β_cand')</w:t>
            </w:r>
          </w:p>
        </w:tc>
        <w:tc>
          <w:tcPr>
            <w:tcW w:type="dxa" w:w="665"/>
          </w:tcPr>
          <w:p>
            <w:r>
              <w:rPr>
                <w:rFonts w:ascii="Times New Roman" w:hAnsi="Times New Roman"/>
                <w:sz w:val="20"/>
              </w:rPr>
              <w:t>('OIL', 'verdict')</w:t>
            </w:r>
          </w:p>
        </w:tc>
      </w:tr>
      <w:tr>
        <w:tc>
          <w:tcPr>
            <w:tcW w:type="dxa" w:w="665"/>
          </w:tcPr>
          <w:p>
            <w:r>
              <w:rPr>
                <w:rFonts w:ascii="Times New Roman" w:hAnsi="Times New Roman"/>
                <w:sz w:val="20"/>
              </w:rPr>
              <w:t>GARCH-LSTM vs. ARCH(1)</w:t>
            </w:r>
          </w:p>
        </w:tc>
        <w:tc>
          <w:tcPr>
            <w:tcW w:type="dxa" w:w="665"/>
          </w:tcPr>
          <w:p>
            <w:r>
              <w:rPr>
                <w:rFonts w:ascii="Times New Roman" w:hAnsi="Times New Roman"/>
                <w:sz w:val="20"/>
              </w:rPr>
              <w:t>-0.016</w:t>
            </w:r>
          </w:p>
        </w:tc>
        <w:tc>
          <w:tcPr>
            <w:tcW w:type="dxa" w:w="665"/>
          </w:tcPr>
          <w:p>
            <w:r>
              <w:rPr>
                <w:rFonts w:ascii="Times New Roman" w:hAnsi="Times New Roman"/>
                <w:sz w:val="20"/>
              </w:rPr>
              <w:t>Benchmark suff.</w:t>
            </w:r>
          </w:p>
        </w:tc>
        <w:tc>
          <w:tcPr>
            <w:tcW w:type="dxa" w:w="665"/>
          </w:tcPr>
          <w:p>
            <w:r>
              <w:rPr>
                <w:rFonts w:ascii="Times New Roman" w:hAnsi="Times New Roman"/>
                <w:sz w:val="20"/>
              </w:rPr>
              <w:t>0.721</w:t>
            </w:r>
          </w:p>
        </w:tc>
        <w:tc>
          <w:tcPr>
            <w:tcW w:type="dxa" w:w="665"/>
          </w:tcPr>
          <w:p>
            <w:r>
              <w:rPr>
                <w:rFonts w:ascii="Times New Roman" w:hAnsi="Times New Roman"/>
                <w:sz w:val="20"/>
              </w:rPr>
              <w:t>Neither sig.</w:t>
            </w:r>
          </w:p>
        </w:tc>
        <w:tc>
          <w:tcPr>
            <w:tcW w:type="dxa" w:w="665"/>
          </w:tcPr>
          <w:p>
            <w:r>
              <w:rPr>
                <w:rFonts w:ascii="Times New Roman" w:hAnsi="Times New Roman"/>
                <w:sz w:val="20"/>
              </w:rPr>
              <w:t>0.024</w:t>
            </w:r>
          </w:p>
        </w:tc>
        <w:tc>
          <w:tcPr>
            <w:tcW w:type="dxa" w:w="665"/>
          </w:tcPr>
          <w:p>
            <w:r>
              <w:rPr>
                <w:rFonts w:ascii="Times New Roman" w:hAnsi="Times New Roman"/>
                <w:sz w:val="20"/>
              </w:rPr>
              <w:t>Neither sig.</w:t>
            </w:r>
          </w:p>
        </w:tc>
        <w:tc>
          <w:tcPr>
            <w:tcW w:type="dxa" w:w="665"/>
          </w:tcPr>
          <w:p>
            <w:r>
              <w:rPr>
                <w:rFonts w:ascii="Times New Roman" w:hAnsi="Times New Roman"/>
                <w:sz w:val="20"/>
              </w:rPr>
              <w:t>0.419</w:t>
            </w:r>
          </w:p>
        </w:tc>
        <w:tc>
          <w:tcPr>
            <w:tcW w:type="dxa" w:w="665"/>
          </w:tcPr>
          <w:p>
            <w:r>
              <w:rPr>
                <w:rFonts w:ascii="Times New Roman" w:hAnsi="Times New Roman"/>
                <w:sz w:val="20"/>
              </w:rPr>
              <w:t>Neither sig.</w:t>
            </w:r>
          </w:p>
        </w:tc>
        <w:tc>
          <w:tcPr>
            <w:tcW w:type="dxa" w:w="665"/>
          </w:tcPr>
          <w:p>
            <w:r>
              <w:rPr>
                <w:rFonts w:ascii="Times New Roman" w:hAnsi="Times New Roman"/>
                <w:sz w:val="20"/>
              </w:rPr>
              <w:t>0.969**</w:t>
            </w:r>
          </w:p>
        </w:tc>
        <w:tc>
          <w:tcPr>
            <w:tcW w:type="dxa" w:w="665"/>
          </w:tcPr>
          <w:p>
            <w:r>
              <w:rPr>
                <w:rFonts w:ascii="Times New Roman" w:hAnsi="Times New Roman"/>
                <w:sz w:val="20"/>
              </w:rPr>
              <w:t>Both contribute</w:t>
            </w:r>
          </w:p>
        </w:tc>
        <w:tc>
          <w:tcPr>
            <w:tcW w:type="dxa" w:w="665"/>
          </w:tcPr>
          <w:p>
            <w:r>
              <w:rPr>
                <w:rFonts w:ascii="Times New Roman" w:hAnsi="Times New Roman"/>
                <w:sz w:val="20"/>
              </w:rPr>
              <w:t>1.744***</w:t>
            </w:r>
          </w:p>
        </w:tc>
        <w:tc>
          <w:tcPr>
            <w:tcW w:type="dxa" w:w="665"/>
          </w:tcPr>
          <w:p>
            <w:r>
              <w:rPr>
                <w:rFonts w:ascii="Times New Roman" w:hAnsi="Times New Roman"/>
                <w:sz w:val="20"/>
              </w:rPr>
              <w:t>Adds info</w:t>
            </w:r>
          </w:p>
        </w:tc>
      </w:tr>
      <w:tr>
        <w:tc>
          <w:tcPr>
            <w:tcW w:type="dxa" w:w="665"/>
          </w:tcPr>
          <w:p>
            <w:r>
              <w:rPr>
                <w:rFonts w:ascii="Times New Roman" w:hAnsi="Times New Roman"/>
                <w:sz w:val="20"/>
              </w:rPr>
              <w:t>GARCH-LSTM vs. GARCH(1,1)</w:t>
            </w:r>
          </w:p>
        </w:tc>
        <w:tc>
          <w:tcPr>
            <w:tcW w:type="dxa" w:w="665"/>
          </w:tcPr>
          <w:p>
            <w:r>
              <w:rPr>
                <w:rFonts w:ascii="Times New Roman" w:hAnsi="Times New Roman"/>
                <w:sz w:val="20"/>
              </w:rPr>
              <w:t>0.937</w:t>
            </w:r>
          </w:p>
        </w:tc>
        <w:tc>
          <w:tcPr>
            <w:tcW w:type="dxa" w:w="665"/>
          </w:tcPr>
          <w:p>
            <w:r>
              <w:rPr>
                <w:rFonts w:ascii="Times New Roman" w:hAnsi="Times New Roman"/>
                <w:sz w:val="20"/>
              </w:rPr>
              <w:t>Neither sig.</w:t>
            </w:r>
          </w:p>
        </w:tc>
        <w:tc>
          <w:tcPr>
            <w:tcW w:type="dxa" w:w="665"/>
          </w:tcPr>
          <w:p>
            <w:r>
              <w:rPr>
                <w:rFonts w:ascii="Times New Roman" w:hAnsi="Times New Roman"/>
                <w:sz w:val="20"/>
              </w:rPr>
              <w:t>1.238***</w:t>
            </w:r>
          </w:p>
        </w:tc>
        <w:tc>
          <w:tcPr>
            <w:tcW w:type="dxa" w:w="665"/>
          </w:tcPr>
          <w:p>
            <w:r>
              <w:rPr>
                <w:rFonts w:ascii="Times New Roman" w:hAnsi="Times New Roman"/>
                <w:sz w:val="20"/>
              </w:rPr>
              <w:t>Adds info</w:t>
            </w:r>
          </w:p>
        </w:tc>
        <w:tc>
          <w:tcPr>
            <w:tcW w:type="dxa" w:w="665"/>
          </w:tcPr>
          <w:p>
            <w:r>
              <w:rPr>
                <w:rFonts w:ascii="Times New Roman" w:hAnsi="Times New Roman"/>
                <w:sz w:val="20"/>
              </w:rPr>
              <w:t>-0.507</w:t>
            </w:r>
          </w:p>
        </w:tc>
        <w:tc>
          <w:tcPr>
            <w:tcW w:type="dxa" w:w="665"/>
          </w:tcPr>
          <w:p>
            <w:r>
              <w:rPr>
                <w:rFonts w:ascii="Times New Roman" w:hAnsi="Times New Roman"/>
                <w:sz w:val="20"/>
              </w:rPr>
              <w:t>Neither sig.</w:t>
            </w:r>
          </w:p>
        </w:tc>
        <w:tc>
          <w:tcPr>
            <w:tcW w:type="dxa" w:w="665"/>
          </w:tcPr>
          <w:p>
            <w:r>
              <w:rPr>
                <w:rFonts w:ascii="Times New Roman" w:hAnsi="Times New Roman"/>
                <w:sz w:val="20"/>
              </w:rPr>
              <w:t>-0.418</w:t>
            </w:r>
          </w:p>
        </w:tc>
        <w:tc>
          <w:tcPr>
            <w:tcW w:type="dxa" w:w="665"/>
          </w:tcPr>
          <w:p>
            <w:r>
              <w:rPr>
                <w:rFonts w:ascii="Times New Roman" w:hAnsi="Times New Roman"/>
                <w:sz w:val="20"/>
              </w:rPr>
              <w:t>Neither sig.</w:t>
            </w:r>
          </w:p>
        </w:tc>
        <w:tc>
          <w:tcPr>
            <w:tcW w:type="dxa" w:w="665"/>
          </w:tcPr>
          <w:p>
            <w:r>
              <w:rPr>
                <w:rFonts w:ascii="Times New Roman" w:hAnsi="Times New Roman"/>
                <w:sz w:val="20"/>
              </w:rPr>
              <w:t>0.494**</w:t>
            </w:r>
          </w:p>
        </w:tc>
        <w:tc>
          <w:tcPr>
            <w:tcW w:type="dxa" w:w="665"/>
          </w:tcPr>
          <w:p>
            <w:r>
              <w:rPr>
                <w:rFonts w:ascii="Times New Roman" w:hAnsi="Times New Roman"/>
                <w:sz w:val="20"/>
              </w:rPr>
              <w:t>Adds info</w:t>
            </w:r>
          </w:p>
        </w:tc>
        <w:tc>
          <w:tcPr>
            <w:tcW w:type="dxa" w:w="665"/>
          </w:tcPr>
          <w:p>
            <w:r>
              <w:rPr>
                <w:rFonts w:ascii="Times New Roman" w:hAnsi="Times New Roman"/>
                <w:sz w:val="20"/>
              </w:rPr>
              <w:t>-0.707</w:t>
            </w:r>
          </w:p>
        </w:tc>
        <w:tc>
          <w:tcPr>
            <w:tcW w:type="dxa" w:w="665"/>
          </w:tcPr>
          <w:p>
            <w:r>
              <w:rPr>
                <w:rFonts w:ascii="Times New Roman" w:hAnsi="Times New Roman"/>
                <w:sz w:val="20"/>
              </w:rPr>
              <w:t>Neither sig.</w:t>
            </w:r>
          </w:p>
        </w:tc>
      </w:tr>
      <w:tr>
        <w:tc>
          <w:tcPr>
            <w:tcW w:type="dxa" w:w="665"/>
          </w:tcPr>
          <w:p>
            <w:r>
              <w:rPr>
                <w:rFonts w:ascii="Times New Roman" w:hAnsi="Times New Roman"/>
                <w:sz w:val="20"/>
              </w:rPr>
              <w:t>NN-GARCH vs. GARCH(1,1)</w:t>
            </w:r>
          </w:p>
        </w:tc>
        <w:tc>
          <w:tcPr>
            <w:tcW w:type="dxa" w:w="665"/>
          </w:tcPr>
          <w:p>
            <w:r>
              <w:rPr>
                <w:rFonts w:ascii="Times New Roman" w:hAnsi="Times New Roman"/>
                <w:sz w:val="20"/>
              </w:rPr>
              <w:t>3.649</w:t>
            </w:r>
          </w:p>
        </w:tc>
        <w:tc>
          <w:tcPr>
            <w:tcW w:type="dxa" w:w="665"/>
          </w:tcPr>
          <w:p>
            <w:r>
              <w:rPr>
                <w:rFonts w:ascii="Times New Roman" w:hAnsi="Times New Roman"/>
                <w:sz w:val="20"/>
              </w:rPr>
              <w:t>Neither sig.</w:t>
            </w:r>
          </w:p>
        </w:tc>
        <w:tc>
          <w:tcPr>
            <w:tcW w:type="dxa" w:w="665"/>
          </w:tcPr>
          <w:p>
            <w:r>
              <w:rPr>
                <w:rFonts w:ascii="Times New Roman" w:hAnsi="Times New Roman"/>
                <w:sz w:val="20"/>
              </w:rPr>
              <w:t>-3.184</w:t>
            </w:r>
          </w:p>
        </w:tc>
        <w:tc>
          <w:tcPr>
            <w:tcW w:type="dxa" w:w="665"/>
          </w:tcPr>
          <w:p>
            <w:r>
              <w:rPr>
                <w:rFonts w:ascii="Times New Roman" w:hAnsi="Times New Roman"/>
                <w:sz w:val="20"/>
              </w:rPr>
              <w:t>Benchmark suff.</w:t>
            </w:r>
          </w:p>
        </w:tc>
        <w:tc>
          <w:tcPr>
            <w:tcW w:type="dxa" w:w="665"/>
          </w:tcPr>
          <w:p>
            <w:r>
              <w:rPr>
                <w:rFonts w:ascii="Times New Roman" w:hAnsi="Times New Roman"/>
                <w:sz w:val="20"/>
              </w:rPr>
              <w:t>-1.459</w:t>
            </w:r>
          </w:p>
        </w:tc>
        <w:tc>
          <w:tcPr>
            <w:tcW w:type="dxa" w:w="665"/>
          </w:tcPr>
          <w:p>
            <w:r>
              <w:rPr>
                <w:rFonts w:ascii="Times New Roman" w:hAnsi="Times New Roman"/>
                <w:sz w:val="20"/>
              </w:rPr>
              <w:t>Neither sig.</w:t>
            </w:r>
          </w:p>
        </w:tc>
        <w:tc>
          <w:tcPr>
            <w:tcW w:type="dxa" w:w="665"/>
          </w:tcPr>
          <w:p>
            <w:r>
              <w:rPr>
                <w:rFonts w:ascii="Times New Roman" w:hAnsi="Times New Roman"/>
                <w:sz w:val="20"/>
              </w:rPr>
              <w:t>-0.656</w:t>
            </w:r>
          </w:p>
        </w:tc>
        <w:tc>
          <w:tcPr>
            <w:tcW w:type="dxa" w:w="665"/>
          </w:tcPr>
          <w:p>
            <w:r>
              <w:rPr>
                <w:rFonts w:ascii="Times New Roman" w:hAnsi="Times New Roman"/>
                <w:sz w:val="20"/>
              </w:rPr>
              <w:t>Neither sig.</w:t>
            </w:r>
          </w:p>
        </w:tc>
        <w:tc>
          <w:tcPr>
            <w:tcW w:type="dxa" w:w="665"/>
          </w:tcPr>
          <w:p>
            <w:r>
              <w:rPr>
                <w:rFonts w:ascii="Times New Roman" w:hAnsi="Times New Roman"/>
                <w:sz w:val="20"/>
              </w:rPr>
              <w:t>-0.008</w:t>
            </w:r>
          </w:p>
        </w:tc>
        <w:tc>
          <w:tcPr>
            <w:tcW w:type="dxa" w:w="665"/>
          </w:tcPr>
          <w:p>
            <w:r>
              <w:rPr>
                <w:rFonts w:ascii="Times New Roman" w:hAnsi="Times New Roman"/>
                <w:sz w:val="20"/>
              </w:rPr>
              <w:t>Benchmark suff.</w:t>
            </w:r>
          </w:p>
        </w:tc>
        <w:tc>
          <w:tcPr>
            <w:tcW w:type="dxa" w:w="665"/>
          </w:tcPr>
          <w:p>
            <w:r>
              <w:rPr>
                <w:rFonts w:ascii="Times New Roman" w:hAnsi="Times New Roman"/>
                <w:sz w:val="20"/>
              </w:rPr>
              <w:t>-0.049***</w:t>
            </w:r>
          </w:p>
        </w:tc>
        <w:tc>
          <w:tcPr>
            <w:tcW w:type="dxa" w:w="665"/>
          </w:tcPr>
          <w:p>
            <w:r>
              <w:rPr>
                <w:rFonts w:ascii="Times New Roman" w:hAnsi="Times New Roman"/>
                <w:sz w:val="20"/>
              </w:rPr>
              <w:t>Both contribute</w:t>
            </w:r>
          </w:p>
        </w:tc>
      </w:tr>
    </w:tbl>
    <w:p>
      <w:r>
        <w:rPr>
          <w:i/>
          <w:sz w:val="18"/>
        </w:rPr>
        <w:t>Note: Forecast-encompassing regression: \varepsilon^2_t = b_0 + b_1 \sigma^2_{benchmark,t} + b_2 \sigma^2_{candidate,t} + u_t, HAC SE (Newey--West, bandwidth \lfloor 4(T/100)^{2/9} \rfloor). \beta_{cand}: coefficient on the candidate forecast (significance from its own HAC p-value). 'Adds info': candidate significant, benchmark not — benchmark is redundant given the candidate. 'Both contribute': both significant — complementary information. 'Benchmark suff.': candidate carries no information beyond the benchmark. 'Neither sig.': inconclusive (often collinearity). Significance: *** p&lt;0.01, ** p&lt;0.05, * p&lt;0.10.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