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13. LSTM Gate &lt;-&gt; GARCH Parameter Correspondence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</w:tblGrid>
      <w:tr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Series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E[i_t]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sd[i_t] (across seeds)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E[f_t]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sd[f_t] (across seeds)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corr(i_t, eps2_t)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corr(f_t, eps2_t)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alpha_implied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alpha_hat (GARCH-t)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beta_implied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beta_hat (GARCH-t)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Persistence (implied)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Persistence (GARCH-t)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Half-life implied (days)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Half-life GARCH-t (days)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Pearson r(LSTM,GARCH)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b (slope)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b 95% CI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CI contains 1</w:t>
            </w:r>
          </w:p>
        </w:tc>
      </w:tr>
      <w:tr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BTC-USD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0.5227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0.0045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0.7398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0.0033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0.0744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-0.1143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0.5227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0.1065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0.7398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0.8935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1.2625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2.3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6.2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0.6114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0.1973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[0.1246, 0.2701]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</w:tr>
      <w:tr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ETH-USD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0.5364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0.0065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0.7449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0.0048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0.1087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-0.0837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0.5364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0.1000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0.7449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0.9000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1.2813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2.4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6.6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0.6784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0.3602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[0.2492, 0.4711]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</w:tr>
      <w:tr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DJIA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0.4988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0.0049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0.7281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0.0030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-0.0164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-0.0315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0.4988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0.1686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0.7281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0.8235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1.2269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0.9922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2.2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3.6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0.9130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0.0450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[0.0399, 0.0502]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</w:tr>
      <w:tr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SP500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0.4981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0.0045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0.7275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0.0032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-0.0565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-0.0928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0.4981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0.1703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0.7275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0.8297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1.2256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2.2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3.7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0.7513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0.0057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[0.0045, 0.0068]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</w:tr>
      <w:tr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GOLD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0.4933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0.0210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0.7049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0.0165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-0.0685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-0.1496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0.4933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0.0279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0.7049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0.9624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1.1982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0.9903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2.0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18.1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0.5465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0.0186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[0.0139, 0.0232]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</w:tr>
      <w:tr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OIL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0.5007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0.0006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0.7297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0.0010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0.0402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-0.1862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0.5007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0.1105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0.7297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0.8585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1.2305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0.9690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2.2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4.5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0.8534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0.4286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[0.2871, 0.5702]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</w:tr>
    </w:tbl>
    <w:p>
      <w:r>
        <w:rPr>
          <w:i/>
          <w:sz w:val="18"/>
        </w:rPr>
        <w:t>Note: E[i_t]/E[f_t]: mean input/forget gate activation over the OOS test windows, averaged across seeds (reconstructed forward pass -- Keras does not expose intermediate gate activations). alpha\_implied = E[i\_t], beta\_implied = E[f\_t] under Proposition 2's mapping (exact only when gates are structurally constant, as in Section 7's Rung 1; sd[i\_t]/sd[f\_t] measure how close the free-gate trained model stays to that regime -- see src.eval.gate\_correspondence module docstring for the full derivation). sigma2\_LSTM = a + b*sigma2\_GARCH (HAC SE): equivalence predicts b~=1; 'CI contains 1' is a direct, assumption-light equivalence check independent of the gate-mean mapping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