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3. Model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Package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ARCH(1)-t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 (Python)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Benchmark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GARCH(1,1)-t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 (Python)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Reference benchmark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EGARCH(1,1)-t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 (Python)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Leverage effect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GJR-GARCH(1,1)-t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 (Python)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Threshold asymmetry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FIGARCH(1,d,1)-t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 (Python)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Long memory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Markov-switching (2 states)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MSGARCH (R)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Markov-switching (rev. req.)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Econometric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HAR-RV (OLS+HAC)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statsmodels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Heterogeneous volatility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SVR-GARCH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SVR-RBF on ε² window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ML baseline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Dense net + GARCH prior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Neural GARCH augmentation (rev. req.)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LSTM + MSE loss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Architecture ablation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Conv1D + LSTM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baseline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LSTM + Bahdanau attn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baseline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Dilated causal Conv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baseline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Encoder-only transformer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baseline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(diagnostic)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ARCH(1)-restricted LSTM cell (5 structural constraints)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Optimizer diagnostic (ARCH(1) recovery, not a proposed forecasting model)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Panel 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DL (diagnostic)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GARCH(1,1)-restricted LSTM cell (trainable forget gate, bounded persistence/mix reparametrization)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Keras/TF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Optimizer diagnostic (GARCH(1,1) recovery, not a proposed forecasting model)</w:t>
            </w:r>
          </w:p>
        </w:tc>
      </w:tr>
    </w:tbl>
    <w:p>
      <w:r>
        <w:rPr>
          <w:i/>
          <w:sz w:val="18"/>
        </w:rPr>
        <w:t>Note: Returns scaled as 100×log-retornos (pp). All parametric models use Student-t innovations. Neural models: S=10 seeds, mean ± s.d. reported. ε²_t as volatility proxy for all evaluations.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