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4. OOS Forecasting Performance — BTC-USD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Panel 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--- Panel A ---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818.91685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28.61672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24.75150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-2.7992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3.45953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-2.5062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+280.42\%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215.26829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14.67202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6.47578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0.0013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2.49608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-2.1186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243.67230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15.61001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8.62743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-0.1305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2.63796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-2.1697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216.62625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14.71823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6.27776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-0.0050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2.50597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-2.1201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213.12245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14.59871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6.23552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0.0113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\textbf{2.47969}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\textbf{-2.1143}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225.18016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15.00600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8.82689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-0.0447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2.72945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-2.2003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+4.60\%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Panel B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--- Panel B ---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SVR-GARCH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\textbf{212.97114 ± nan}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\textbf{14.59353}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\textbf{4.82759 ± nan}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\textbf{0.0120}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15377730.75878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-3.0126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250.71758 ± 54.12701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15.83406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6.33794 ± 0.31812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-0.1632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2.69449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-2.1882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225.33893 ± 0.50310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15.01129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7.61314 ± 0.05275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-0.0454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2.68608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-2.1771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+4.68\%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253.22478 ± 99.25189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15.91304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6.53061 ± 0.90982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-0.1748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2.94936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-2.2491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+17.63\%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225.30482 ± 0.58432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15.01016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7.60691 ± 0.07142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-0.0453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2.68581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-2.1770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+4.66\%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Panel 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--- Panel C ---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431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