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Cross-Market OOS Performance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('BTC-USD', 'Δ%MSE')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('BTC-USD', 'Δ%MAE')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('ETH-USD', 'Δ%MSE')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('ETH-USD', 'Δ%MAE')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('DJIA', 'Δ%MSE')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('DJIA', 'Δ%MAE')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('SP500', 'Δ%MSE')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('SP500', 'Δ%MAE')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+280.42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+282.22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+19.91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+36.96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+38.55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+28.33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+51.30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+43.75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+17.63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+0.85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+13.19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+33.23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+2.65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-3.71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-4.03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-8.23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-4.07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-1.69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+0.00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+0.63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-3.06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-0.76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-6.04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-5.97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-3.58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+4.60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+36.31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+5.54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+2.84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+5.40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+5.70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+8.01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+4.66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+17.47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+4.68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+17.56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+16.47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-2.13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-1.07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-25.45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Percentage change relative to GARCH(1,1) (reference row marked —). Bold = statistically significant at 5%% after Holm–Bonferroni correction on QLIKE-based DM test. Negative = improvement over GARCH(1,1).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