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11a. Risk Backtest Summary — BTC-USD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  <w:gridCol w:w="279"/>
      </w:tblGrid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n_exp@0.975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ExcRate@0.975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p_uc@0.975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KupiecPass@0.975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p_ind@0.975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LR_cc@0.975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p_cc@0.975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ChristoffersenPass@0.975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VaR_t_mean@0.975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ES_t_mean@0.975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ES_Z2@0.975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ES_p@0.975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8.6634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0.0032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8.6634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13.643310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18.052641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-1.0000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15.0212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15.0259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10.422578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14.278446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-0.9139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3.7237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0.0536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3.7284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0.1550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9.673196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12.799441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-0.7214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15.0212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15.0259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7.389676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10.123512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-0.8591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0.4501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0.0422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0.8373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0.7818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7.681291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10.163778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-0.3736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0.0162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1.5454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0.2138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0.2317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0.6303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1.7771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0.4113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5.867993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8.038877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-0.3838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0.1061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6.066842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8.027561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0.1478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0.0325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0.9060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0.3412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0.5280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0.4674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1.4340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0.4882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4.634662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6.349271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0.2643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0.3620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0.0093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0.8793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0.0751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0.7840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0.0982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0.9521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6.294223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8.328429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-0.0535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0.9660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0.0255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0.9448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0.5776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0.4472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0.5824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0.7474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4.808366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6.587238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0.8380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0.1061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0.7446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0.1176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0.7316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0.2237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6.113817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8.089719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0.2036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0.6000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0.7104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0.6891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0.4065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0.8269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0.6614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4.670548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6.398433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0.5400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3.7237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0.0536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0.0047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0.9456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3.7284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0.1550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8.123505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10.748910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-0.7043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0.1320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0.0093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5.7312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0.0167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0.0751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0.7840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5.8063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0.0548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6.205815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8.501678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-0.6145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0.0220</w:t>
            </w:r>
          </w:p>
        </w:tc>
      </w:tr>
      <w:tr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LSTM-SSE-t-Student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0.0070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0.4501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0.5023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0.0422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0.8373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0.4923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0.7818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6.854284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9.069495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-0.2560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0.6960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10.78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0.0139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2.5784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0.1083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0.1698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0.6803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2.7482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0.2531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5.236216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7.173371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-0.3942</w:t>
            </w:r>
          </w:p>
        </w:tc>
        <w:tc>
          <w:tcPr>
            <w:tcW w:type="dxa" w:w="279"/>
          </w:tcPr>
          <w:p>
            <w:r>
              <w:rPr>
                <w:rFonts w:ascii="Times New Roman" w:hAnsi="Times New Roman"/>
                <w:sz w:val="20"/>
              </w:rPr>
              <w:t>0.2100</w:t>
            </w:r>
          </w:p>
        </w:tc>
      </w:tr>
    </w:tbl>
    <w:p>
      <w:r>
        <w:rPr>
          <w:i/>
          <w:sz w:val="18"/>
        </w:rPr>
        <w:t>Note: Student-t VaR backtest over OOS residuals. n_exc/n_exp: observed vs. expected exceedances (T x tail probability). Kupiec uses the UC LR test for correct unconditional exceedance rate (H0: hit rate = tail probability). Christoffersen uses the CC LR test (UC + independence). KupiecPass = Yes when p_uc &gt;= 0.05; ChristoffersenPass = Yes when p_cc &gt;= 0.05. ES_Z2/ES_p (Section 9.5): Acerbi-Szekely (2014) Z2 Expected-Shortfall backtest, HAC-free Monte Carlo p-value under the model's own posited Student-t distribution (H0: ES correctly specified; not just an average magnitude). VaR_t_mean/ES_t_mean are averages of model-implied risk forecasts over the OOS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