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4. OOS Forecasting Performance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818.89242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28.61630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24.75100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-2.7991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3.45952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+280.41\%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215.26829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14.67202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6.47578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2.49608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243.67336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8.62748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2.63797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-2.1697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+13.20\%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216.62581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14.71821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6.27771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2.50597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213.12243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14.59871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6.23551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\textbf{2.47969}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\textbf{-2.1143}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554.97635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23.55794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15.13029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3.01790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+157.81\%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225.18016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15.00600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8.82689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2.72945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211.71027 ± 9.42455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\textbf{4.95624 ± 1.38496}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2.57342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206.14789 ± 2.26414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14.35785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6.30726 ± 0.08167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2.51405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\textbf{201.13178 ± 1.06856}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\textbf{14.18209}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6.07584 ± 0.07151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\textbf{0.0669}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2.49542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211.84175 ± 3.01144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14.55478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6.90861 ± 0.22621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2.58664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214.19608 ± 2.78736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6.24727 ± 0.52342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2.55319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206.36639 ± 1.99887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14.36546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6.58889 ± 0.19324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-4.14\%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209.07350 ± 0.05043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14.45937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6.78790 ± 0.00501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2.55145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-2.88\%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295.02741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17.17636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12.14717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-0.3687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-2.2963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431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