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4e. GARCH(1,1) Parameter Estimates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rFonts w:ascii="Times New Roman" w:hAnsi="Times New Roman"/>
                <w:b/>
                <w:sz w:val="20"/>
              </w:rPr>
              <w:t>Panel A: Parameters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ω (omega)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0.1600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0.3901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0.0219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0.0094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0.2089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α₁ (alpha[1])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0.1065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0.1000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0.1686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0.1703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0.0279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0.1105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β₁ (beta[1])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0.8935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0.9000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0.8235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0.8297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0.9624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0.8585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ν (nu)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3.1688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3.3496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5.5344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5.6055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4.2536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6.4803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rFonts w:ascii="Times New Roman" w:hAnsi="Times New Roman"/>
                <w:b/>
                <w:sz w:val="20"/>
              </w:rPr>
              <w:t>Panel B: Persistence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α₁+β₁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0.9922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0.9903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0.9690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Half-life (days)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88.0900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70.8700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21.9900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Stationary (α+β&lt;1)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Unconditional σ² = ω/(1−α−β)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2.7998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0.9654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6.7329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rFonts w:ascii="Times New Roman" w:hAnsi="Times New Roman"/>
                <w:b/>
                <w:sz w:val="20"/>
              </w:rPr>
              <w:t>Panel C: In-sample fit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LL (in-sample)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-8616.4170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-7050.7330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-2727.0681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-2813.1074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-2762.6453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-4986.9627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17242.8339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14111.4660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5464.1362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5636.2148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5535.2907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9983.9255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17273.5544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14140.6340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5492.6805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5664.7591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5563.8350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10012.4675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N (obs)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rFonts w:ascii="Times New Roman" w:hAnsi="Times New Roman"/>
                <w:b/>
                <w:sz w:val="20"/>
              </w:rPr>
              <w:t>Panel D: Diagnostics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Convergence flag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Hessian PD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GARCH(1,1) with Student-t innovations estimated by MLE. Returns in 100×log-ret (pp). Standard errors: Bollerslev–Wooldridge robust (outer-product of gradient). Unconditional variance = ω/(1−α₁−β₁); compared to empirical ε² variance (warning if deviation &gt; 20%). Half-life = ln(0.5)/ln(α₁+β₁). *** p&lt;0.01, ** p&lt;0.05, * p&lt;0.10.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