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Table A2. Parameter Estimates — ETH-USD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Parameter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ARCH(1)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GARCH(1,1)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EGARCH(1,1)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GJR-GARCH(1,1)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FIGARCH(1,d,1)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HAR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MSGARCH(1,1)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omega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21.6366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0.3901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0.0762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0.3644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0.9192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alpha[1]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0.3411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0.1000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0.1903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0.1018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gamma[1]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-0.0101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beta[1]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0.9000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0.9834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0.9032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phi[1]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d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0.4541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const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12.9412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beta_d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0.0408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beta_w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0.1712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beta_m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0.1895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alpha0_1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0.0000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alpha1_1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0.1524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beta_1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0.8007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nu_1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4.3936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alpha0_2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0.0346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alpha1_2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0.0068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beta_2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0.9928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nu_2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4.3936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P_1_1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0.5852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P_2_1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0.4608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nu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2.8522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3.3496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3.2889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3.3668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3.5912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LL_insample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-7139.8355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-7050.7330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-7037.8502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-7050.6217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-7044.2991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-14444.5370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-7024.1955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AIC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14287.6711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14111.4660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14085.7005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14113.2434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14100.5982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28897.0739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14068.3910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BIC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14311.0055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14140.6340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14114.8685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14148.2450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14135.5998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28920.3733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14126.7270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convergence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0.0000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0.0000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0.0000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0.0000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0.0000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0.0000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0.0000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hess_pd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n_obs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2524.0000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2524.0000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2524.0000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2524.0000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2524.0000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2502.0000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sz w:val="20"/>
              </w:rPr>
              <w:t>2524.0000</w:t>
            </w:r>
          </w:p>
        </w:tc>
      </w:tr>
    </w:tbl>
    <w:p>
      <w:r>
        <w:rPr>
          <w:i/>
          <w:sz w:val="18"/>
        </w:rPr>
        <w:t>Note: Series: ETH-USD. Returns in 100×log-ret (pp). All parametric models: Student-t innovations. '—' = parameter not defined in this specification. LL_insample: total log-likelihood on training sample. Standard errors: Bollerslev–Wooldridge robust. *** p&lt;0.01.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