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4. GARCH(1,1) Parameter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Panel A: Parameters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ω (omega)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0.1600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0.3901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0.0219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α₁ (alpha[1])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0.1065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0.1000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0.1686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0.1703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β₁ (beta[1])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0.8935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0.9000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0.8235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0.8297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ν (nu)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3.1688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3.3496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5.5343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5.6055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Panel B: Persistence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α₁+β₁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0.9922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Half-life (days)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88.0900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Stationary (α+β&lt;1)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Unconditional σ² = ω/(1−α−β)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2.7998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Panel C: In-sample fit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LL (in-sample)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-8616.4170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-7050.7330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-2727.0681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-2813.1074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17242.8339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14111.4660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5464.1362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5636.2148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17273.5544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14140.6340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5492.6805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5664.7591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N (obs)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Panel D: Diagnostics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Convergence flag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Hessian PD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GARCH(1,1) with Student-t innovations estimated by MLE. Returns in 100×log-ret (pp). Standard errors: Bollerslev–Wooldridge robust (outer-product of gradient). Unconditional variance = ω/(1−α₁−β₁); compared to empirical ε² variance (warning if deviation &gt; 20%). Half-life = ln(0.5)/ln(α₁+β₁). *** p&lt;0.01, ** p&lt;0.05, * p&lt;0.10.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