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Diebold–Mariano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('BTC-USD', 'DM')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('BTC-USD', 'p(Holm)')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('ETH-USD', 'DM')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('ETH-USD', 'p(Holm)')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('DJIA', 'DM')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('DJIA', 'p(Holm)')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('SP500', 'DM')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('SP500', 'p(Holm)')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SVR-GARCH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Diebold–Mariano test: LSTM-SSE-t-Student vs. each rival model. Loss function: QLIKE. HAC SE (Newey–West, bandwidth ⌊4(T/100)^{2/9}⌋). p(Holm): p-value after Holm–Bonferroni FWER correction per market. Positive DM stat: rival has higher loss → proposed wins. Significance: *** p&lt;0.01, ** p&lt;0.05, * p&lt;0.10 (after Holm).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