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Table 4e. GARCH(1,1) Parameter Estimates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Parameter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BTC-USD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ETH-USD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DJIA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SP500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GOLD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OIL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rFonts w:ascii="Times New Roman" w:hAnsi="Times New Roman"/>
                <w:b/>
                <w:sz w:val="20"/>
              </w:rPr>
              <w:t>Panel A: Parameters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ω (omega)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0.1600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0.3901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0.0219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0.0179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0.0094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0.2089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α₁ (alpha[1])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0.1065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0.1000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0.1686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0.1703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0.0279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0.1105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β₁ (beta[1])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0.8935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0.9000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0.8235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0.8297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0.9624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0.8585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ν (nu)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3.1688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3.3496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5.5344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5.6055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4.2536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6.4803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rFonts w:ascii="Times New Roman" w:hAnsi="Times New Roman"/>
                <w:b/>
                <w:sz w:val="20"/>
              </w:rPr>
              <w:t>Panel B: Persistence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α₁+β₁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0.9922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1.0000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0.9903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0.9690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Half-life (days)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88.0900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70.8700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21.9900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Stationary (α+β&lt;1)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False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True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True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Unconditional σ² = ω/(1−α−β)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2.7998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0.9654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6.7329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rFonts w:ascii="Times New Roman" w:hAnsi="Times New Roman"/>
                <w:b/>
                <w:sz w:val="20"/>
              </w:rPr>
              <w:t>Panel C: In-sample fit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LL (in-sample)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-8616.4170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-7050.7330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-2727.0681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-2813.1074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-2762.6453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-4986.9627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AIC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17242.8339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14111.4660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5464.1362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5636.2148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5535.2907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9983.9255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BIC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17273.5544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14140.6340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5492.6805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5664.7591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5563.8350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10012.4675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N (obs)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3443.0000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2524.0000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2228.0000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2227.0000</w:t>
            </w:r>
          </w:p>
        </w:tc>
      </w:tr>
      <w:tr>
        <w:tc>
          <w:tcPr>
            <w:tcW w:type="dxa" w:w="8638"/>
            <w:gridSpan w:val="7"/>
          </w:tcPr>
          <w:p>
            <w:r>
              <w:rPr>
                <w:rFonts w:ascii="Times New Roman" w:hAnsi="Times New Roman"/>
                <w:b/>
                <w:sz w:val="20"/>
              </w:rPr>
              <w:t>Panel D: Diagnostics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Convergence flag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0.0000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Hessian PD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r>
        <w:rPr>
          <w:i/>
          <w:sz w:val="18"/>
        </w:rPr>
        <w:t>Note: GARCH(1,1) with Student-t innovations estimated by MLE. Returns in 100×log-ret (pp). Standard errors: Bollerslev–Wooldridge robust (outer-product of gradient). Unconditional variance = ω/(1−α₁−β₁); compared to empirical ε² variance (warning if deviation &gt; 20%). Half-life = ln(0.5)/ln(α₁+β₁). *** p&lt;0.01, ** p&lt;0.05, * p&lt;0.10.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