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7. OOS Forecasting Performance — SP500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RMSE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MAE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R2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QLIKE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LL_t_OOS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Delta_MSE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MCS_90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A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2.00740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1.41683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1.01764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-0.5981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0.67303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-1.2020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+51.30\%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1.32676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1.15185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0.70795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-0.0562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0.58989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-1.1537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1.33180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1.15404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0.72673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-0.0602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0.59146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-1.1570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+0.38\%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\textbf{1.27924}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\textbf{1.13104}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0.69498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\textbf{-0.0184}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0.53541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\textbf{-1.1381}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-3.58\%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1.30434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1.14208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\textbf{0.68017}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-0.0384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0.57223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-1.1548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-1.69\%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2.61587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1.61737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1.11212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-1.0825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0.82481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-1.2662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+97.16\%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1.40238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1.18422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0.76469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-0.1164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0.55637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-1.1594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+5.70\%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B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NN-GARCH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1.28378 ± 0.06776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1.13304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0.69864 ± 0.11872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-0.0220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0.57219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-1.1751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-3.24\%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LSTM-SSE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1.29499 ± 0.01503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1.13798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0.71143 ± 0.01816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-0.0309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\textbf{0.52728}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-1.1545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-2.39\%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CNN-LSTM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1.29714 ± 0.04492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1.13892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0.76259 ± 0.04402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-0.0326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0.53942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-1.1549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-2.23\%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LSTM-Attention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1.39327 ± 0.09587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1.18037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0.86092 ± 0.09220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-0.1092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0.59838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-1.1750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+5.01\%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TCN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1.32602 ± 0.15224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1.15153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0.80779 ± 0.19006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-0.0556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0.57019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-1.1676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-0.06\%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Transformer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1.34206 ± 0.25675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1.15847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0.81310 ± 0.23335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-0.0684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0.56775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-1.1635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+1.15\%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C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ARCH-LSTM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1.39472 ± 0.00032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1.18098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0.79473 ± 0.00015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-0.1103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0.57923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-1.1710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+5.12\%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GARCH-LSTM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1.32380 ± 0.00044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1.15056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0.74478 ± 0.00019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-0.0539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0.53301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-1.1548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-0.22\%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D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1.78570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1.33630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1.13381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-0.4216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0.75874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-1.2312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+34.59\%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OOS window: 279 observations. Returns in 100×log-ret (pp); proxy ε²_t = centred squared return. QLIKE = T⁻¹Σ[lnσ̂²_t + ε²_t/σ̂²_t]. LL_t(OOS): per-obs avg Student-t log-likelihood evaluated OOS (all models). Δ%%MSE relative to GARCH(1,1); negative = improvement. MCS 90%% based on block-bootstrap QLIKE (B=10 000, block=20). Panel B: mean ± s.d. over S=10 seeds. Panel D: fixed at the training-split unconditional variance -- the minimum bar every other model should beat. DEGENERATE (src.eval.degeneracy): temporal coefficient of variation of the OOS σ̂²_t path &lt; 5%%, or MSE no better than Panel D's constant forecast. Standard errors Bollerslev–Wooldridge;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