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8. Cross-Market OOS Performance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/>
        </w:tc>
        <w:tc>
          <w:tcPr>
            <w:tcW w:type="dxa" w:w="1330"/>
            <w:gridSpan w:val="2"/>
          </w:tcPr>
          <w:p>
            <w:r>
              <w:rPr>
                <w:rFonts w:ascii="Times New Roman" w:hAnsi="Times New Roman"/>
                <w:b/>
                <w:sz w:val="20"/>
              </w:rPr>
              <w:t>BTC-USD</w:t>
            </w:r>
          </w:p>
        </w:tc>
        <w:tc>
          <w:tcPr>
            <w:tcW w:type="dxa" w:w="1330"/>
            <w:gridSpan w:val="2"/>
          </w:tcPr>
          <w:p>
            <w:r>
              <w:rPr>
                <w:rFonts w:ascii="Times New Roman" w:hAnsi="Times New Roman"/>
                <w:b/>
                <w:sz w:val="20"/>
              </w:rPr>
              <w:t>ETH-USD</w:t>
            </w:r>
          </w:p>
        </w:tc>
        <w:tc>
          <w:tcPr>
            <w:tcW w:type="dxa" w:w="1330"/>
            <w:gridSpan w:val="2"/>
          </w:tcPr>
          <w:p>
            <w:r>
              <w:rPr>
                <w:rFonts w:ascii="Times New Roman" w:hAnsi="Times New Roman"/>
                <w:b/>
                <w:sz w:val="20"/>
              </w:rPr>
              <w:t>DJIA</w:t>
            </w:r>
          </w:p>
        </w:tc>
        <w:tc>
          <w:tcPr>
            <w:tcW w:type="dxa" w:w="1330"/>
            <w:gridSpan w:val="2"/>
          </w:tcPr>
          <w:p>
            <w:r>
              <w:rPr>
                <w:rFonts w:ascii="Times New Roman" w:hAnsi="Times New Roman"/>
                <w:b/>
                <w:sz w:val="20"/>
              </w:rPr>
              <w:t>SP500</w:t>
            </w:r>
          </w:p>
        </w:tc>
        <w:tc>
          <w:tcPr>
            <w:tcW w:type="dxa" w:w="1330"/>
            <w:gridSpan w:val="2"/>
          </w:tcPr>
          <w:p>
            <w:r>
              <w:rPr>
                <w:rFonts w:ascii="Times New Roman" w:hAnsi="Times New Roman"/>
                <w:b/>
                <w:sz w:val="20"/>
              </w:rPr>
              <w:t>GOLD</w:t>
            </w:r>
          </w:p>
        </w:tc>
        <w:tc>
          <w:tcPr>
            <w:tcW w:type="dxa" w:w="1330"/>
            <w:gridSpan w:val="2"/>
          </w:tcPr>
          <w:p>
            <w:r>
              <w:rPr>
                <w:rFonts w:ascii="Times New Roman" w:hAnsi="Times New Roman"/>
                <w:b/>
                <w:sz w:val="20"/>
              </w:rPr>
              <w:t>OIL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Δ%MSE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Δ%MAE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Δ%MSE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Δ%MAE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Δ%MSE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Δ%MAE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Δ%MSE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Δ%MAE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Δ%MSE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Δ%MAE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Δ%MSE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Δ%MAE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\textbf{+280.41}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\textbf{+282.21}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\textbf{+19.91}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\textbf{+36.96}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\textbf{+38.55}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\textbf{+28.33}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\textbf{+51.30}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\textbf{+43.75}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+4.66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-11.20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+14.80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+4.44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ARCH-LSTM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\textbf{-6.60}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\textbf{+17.68}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\textbf{-2.50}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\textbf{+1.38}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-0.48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+2.10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+5.12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+12.26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+10.41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+0.42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+12.23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-6.75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CNN-LSTM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\underline{-6.57}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\underline{-6.18}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-3.64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-6.12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-2.41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-6.75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-2.23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+7.72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+22.11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+2.47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+7.18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-11.83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Constant (unconditional variance)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\textbf{+37.05}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\textbf{+87.58}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\textbf{+7.90}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\textbf{+21.79}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\textbf{+37.03}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\textbf{+50.71}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\textbf{+34.59}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\textbf{+60.15}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+5.12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-11.47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+8.44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+7.06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+13.20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+33.23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-0.57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+0.37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+0.22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+1.67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+0.38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+2.65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+0.18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-4.35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+0.42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-3.83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-1.00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-3.71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-4.03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-8.23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-0.45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-4.07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-1.69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-3.92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-0.60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-4.24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+1.80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+8.73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GARCH-LSTM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-2.88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+4.82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-6.31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-7.92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-2.88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-0.28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-0.22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+5.20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+0.73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-4.94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+4.17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-8.34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+0.63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-3.06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-0.01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-0.76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-6.04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-5.97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-3.58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-1.83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-0.74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-1.77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+5.95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+2.82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\textbf{+4.60}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\textbf{+36.31}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\textbf{-2.21}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\textbf{+5.54}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+2.84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+5.40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+5.70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+8.01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+0.61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-1.06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+2.01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+2.89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LSTM-Attention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-1.59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+6.68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-2.53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-7.06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+0.74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+10.90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+5.01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+21.61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+2.00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-7.05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+7.76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-11.96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LSTM-SSE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-4.24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-2.60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-4.55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-8.31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-4.59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-5.00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-2.39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+0.49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-0.33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-9.47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+4.83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-9.79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\textbf{+157.81}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\textbf{+133.64}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\textbf{+42.11}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\textbf{+53.18}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\textbf{+103.50}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\textbf{+44.43}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\textbf{+97.16}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\textbf{+57.09}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+3.84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-12.74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\textbf{+13.51}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\textbf{+12.80}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NN-GARCH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-1.65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-23.46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\textbf{+12.60}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\textbf{-29.44}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-5.84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-8.33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-3.24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-1.31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+105.56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+12.11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\textbf{+565.82}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\textbf{+38.85}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TCN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-0.50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-3.53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-3.10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-14.79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-8.07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-2.45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-0.06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+14.10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\textbf{+5.96}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\textbf{-2.23}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+6.29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-11.08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Transformer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-4.14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+1.75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-4.55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-17.48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-6.52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-3.88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+1.15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+14.85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+4.32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-4.89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+2.49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-8.87</w:t>
            </w:r>
          </w:p>
        </w:tc>
      </w:tr>
    </w:tbl>
    <w:p>
      <w:r>
        <w:rPr>
          <w:i/>
          <w:sz w:val="18"/>
        </w:rPr>
        <w:t>Note: Percentage change relative to GARCH(1,1) (reference row shown as --). \textbf{Bold} = proposed model significantly beats this rival (positive DM stat, QLIKE, Holm-corrected p&lt;0.05); \underline{underlined} = this rival significantly beats the proposed model (negative DM stat, same test) -- these are opposite conclusions and were previously conflated under a single bold marker. Unmarked = not statistically significant. Negative Delta_%% = improvement over GARCH(1,1).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