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9. Diebold–Mariano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/>
        </w:tc>
        <w:tc>
          <w:tcPr>
            <w:tcW w:type="dxa" w:w="1365"/>
            <w:gridSpan w:val="3"/>
          </w:tcPr>
          <w:p>
            <w:r>
              <w:rPr>
                <w:rFonts w:ascii="Times New Roman" w:hAnsi="Times New Roman"/>
                <w:b/>
                <w:sz w:val="20"/>
              </w:rPr>
              <w:t>BTC-USD</w:t>
            </w:r>
          </w:p>
        </w:tc>
        <w:tc>
          <w:tcPr>
            <w:tcW w:type="dxa" w:w="1365"/>
            <w:gridSpan w:val="3"/>
          </w:tcPr>
          <w:p>
            <w:r>
              <w:rPr>
                <w:rFonts w:ascii="Times New Roman" w:hAnsi="Times New Roman"/>
                <w:b/>
                <w:sz w:val="20"/>
              </w:rPr>
              <w:t>ETH-USD</w:t>
            </w:r>
          </w:p>
        </w:tc>
        <w:tc>
          <w:tcPr>
            <w:tcW w:type="dxa" w:w="1365"/>
            <w:gridSpan w:val="3"/>
          </w:tcPr>
          <w:p>
            <w:r>
              <w:rPr>
                <w:rFonts w:ascii="Times New Roman" w:hAnsi="Times New Roman"/>
                <w:b/>
                <w:sz w:val="20"/>
              </w:rPr>
              <w:t>DJIA</w:t>
            </w:r>
          </w:p>
        </w:tc>
        <w:tc>
          <w:tcPr>
            <w:tcW w:type="dxa" w:w="1365"/>
            <w:gridSpan w:val="3"/>
          </w:tcPr>
          <w:p>
            <w:r>
              <w:rPr>
                <w:rFonts w:ascii="Times New Roman" w:hAnsi="Times New Roman"/>
                <w:b/>
                <w:sz w:val="20"/>
              </w:rPr>
              <w:t>SP500</w:t>
            </w:r>
          </w:p>
        </w:tc>
        <w:tc>
          <w:tcPr>
            <w:tcW w:type="dxa" w:w="1365"/>
            <w:gridSpan w:val="3"/>
          </w:tcPr>
          <w:p>
            <w:r>
              <w:rPr>
                <w:rFonts w:ascii="Times New Roman" w:hAnsi="Times New Roman"/>
                <w:b/>
                <w:sz w:val="20"/>
              </w:rPr>
              <w:t>GOLD</w:t>
            </w:r>
          </w:p>
        </w:tc>
        <w:tc>
          <w:tcPr>
            <w:tcW w:type="dxa" w:w="1365"/>
            <w:gridSpan w:val="3"/>
          </w:tcPr>
          <w:p>
            <w:r>
              <w:rPr>
                <w:rFonts w:ascii="Times New Roman" w:hAnsi="Times New Roman"/>
                <w:b/>
                <w:sz w:val="20"/>
              </w:rPr>
              <w:t>OIL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DM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p(Holm)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TOST p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DM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p(Holm)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TOST p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DM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p(Holm)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TOST p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DM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p(Holm)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TOST p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DM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p(Holm)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TOST p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DM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p(Holm)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TOST p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14.866***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5.399***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3.461***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0.999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3.989***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1.915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0.444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0.967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1.725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0.454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0.899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ARCH-LSTM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5.366***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0.990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3.491***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0.603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0.219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0.381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1.517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0.871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1.575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0.747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0.935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1.900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0.454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0.951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-3.465***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0.647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2.156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0.279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0.237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0.546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0.533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0.276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0.408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2.524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0.146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0.989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1.621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0.454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0.798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10.984***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4.409***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0.998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3.963***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3.399***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0.999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2.136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0.359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0.981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2.174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0.386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0.934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2.668*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0.069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0.870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1.969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0.391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0.419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1.053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0.761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1.152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0.821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-0.823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0.654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-1.911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0.454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0.882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-2.337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0.136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0.762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0.698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0.904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0.029\textsuperscript{eq}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0.999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0.756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0.613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0.666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-1.613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0.747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0.854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-1.972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0.454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0.915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-2.012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0.265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0.578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1.803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0.420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0.235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0.759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0.648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0.883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0.758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-0.842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0.662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-2.165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0.386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0.932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-1.371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0.681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0.447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1.855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0.420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0.270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-0.678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0.635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0.438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-2.009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0.401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0.934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-0.312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0.405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7.825***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3.595***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0.734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1.503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0.617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1.728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0.804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-1.026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0.634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-2.001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0.454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0.908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1.667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0.477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0.243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1.881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0.420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0.534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1.207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0.795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1.683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0.916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0.774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1.786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0.454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0.881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-2.646*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0.069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0.188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1.726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0.420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0.035\textsuperscript{eq}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-0.665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0.504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-0.312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0.370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0.499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0.509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0.733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0.038\textsuperscript{eq}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6.712***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5.624***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3.910***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3.788***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2.595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0.132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0.993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4.652***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0.177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0.411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5.036***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0.117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0.403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0.828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0.719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2.536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0.146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0.988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4.665***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TCN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0.041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0.132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1.177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0.717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0.422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-0.741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0.664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1.058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0.765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3.275**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0.016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2.078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0.415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0.910</w:t>
            </w:r>
          </w:p>
        </w:tc>
      </w:tr>
      <w:tr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Transformer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-0.114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0.000\textsuperscript{eq}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0.752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0.904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0.186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-0.978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0.672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1.157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0.778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2.126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0.359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0.948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-0.020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rFonts w:ascii="Times New Roman" w:hAnsi="Times New Roman"/>
                <w:sz w:val="20"/>
              </w:rPr>
              <w:t>0.089</w:t>
            </w:r>
          </w:p>
        </w:tc>
      </w:tr>
    </w:tbl>
    <w:p>
      <w:r>
        <w:rPr>
          <w:i/>
          <w:sz w:val="18"/>
        </w:rPr>
        <w:t>Note: Diebold–Mariano test: GARCH-LSTM vs. each rival model. Loss function: QLIKE. HAC SE (Newey–West, bandwidth ⌊4(T/100)^{2/9}⌋). p(Holm): p-value after Holm–Bonferroni FWER correction per market. Positive DM stat: rival has higher loss → proposed wins. Significance: *** p&lt;0.01, ** p&lt;0.05, * p&lt;0.10 (after Holm). TOST p (Section 9.4): two one-sided-tests p-value for equivalence of QLIKE loss within margin delta = tost.delta\_pct × GARCH(1,1)'s own mean QLIKE (config, default 2%%), HAC SE. TOST p &lt; 0.05 (marked \textsuperscript{eq}) is a POSITIVE claim of equivalence -- the opposite reading from a DM p-value.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