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9. OOS Forecasting Performance — OIL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RMSE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MAE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R2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QLIKE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LL_t_OOS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Delta_MSE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MCS_90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A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868.56747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29.47147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11.67639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-0.0612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3.37404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-2.4389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+14.80\%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\textbf{756.57655}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\textbf{27.50594}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11.18035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\textbf{0.0756}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2.95819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-2.3686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759.73107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27.56322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10.75214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0.0718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2.99178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-2.3726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+0.42\%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801.57229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28.31205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11.49555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0.0207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3.11456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-2.3946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+5.95\%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770.20491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27.75257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12.15618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0.0590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\textbf{2.95345}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\textbf{-2.3683}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+1.80\%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858.82026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29.30563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12.61123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-0.0493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3.53540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-2.5129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+13.51\%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771.80195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27.78132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11.50295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0.0570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2.97175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-2.3705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+2.01\%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B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NN-GARCH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5037.42774 ± 113921.23438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70.97484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15.52445 ± 12.90584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-5.1546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7.54926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-3.0604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+565.82\%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LSTM-SSE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793.13293 ± 6.31644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28.16262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10.08631 ± 0.14964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0.0310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3.16516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-2.4185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+4.83\%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CNN-LSTM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810.86952 ± 13.49236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28.47577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9.85797 ± 0.13304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0.0093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3.26971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-2.4401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+7.18\%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LSTM-Attention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815.29627 ± 20.89309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28.55339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\textbf{9.84355 ± 0.20781}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0.0039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3.32214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-2.4446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+7.76\%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TCN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804.18119 ± 593.96669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28.35809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9.94148 ± 2.44964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0.0175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3.31415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-2.4516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+6.29\%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Transformer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775.39299 ± 24.89248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27.84588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10.18887 ± 0.53373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0.0527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3.14704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-2.4178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+2.49\%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C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ARCH-LSTM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849.11407 ± 0.23401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29.13956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10.42606 ± 0.00597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-0.0374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3.60566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-2.4655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+12.23\%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GARCH-LSTM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788.09229 ± 0.31361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28.07298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10.24780 ± 0.00855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0.0371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3.14789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-2.4082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+4.17\%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D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Constant (unconditional variance)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820.46688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28.64379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11.96965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-0.0024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3.34013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-2.4645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+8.44\%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OOS window: 279 observations. Returns in 100×log-ret (pp); proxy ε²_t = centred squared return. QLIKE = T⁻¹Σ[lnσ̂²_t + ε²_t/σ̂²_t]. LL_t(OOS): per-obs avg Student-t log-likelihood evaluated OOS (all models). Δ%%MSE relative to GARCH(1,1); negative = improvement. MCS 90%% based on block-bootstrap QLIKE (B=10 000, block=20). Panel B: mean ± s.d. over S=10 seeds. Panel D: fixed at the training-split unconditional variance -- the minimum bar every other model should beat. DEGENERATE (src.eval.degeneracy): temporal coefficient of variation of the OOS σ̂²_t path &lt; 5%%, or MSE no better than Panel D's constant forecast. Standard errors Bollerslev–Wooldridge;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