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1A"/>
          <w:sz w:val="40"/>
        </w:rPr>
        <w:t>Phishing Website Detection</w:t>
      </w:r>
    </w:p>
    <w:p>
      <w:pPr>
        <w:jc w:val="center"/>
      </w:pPr>
      <w:r>
        <w:rPr>
          <w:b/>
          <w:color w:val="1A1A1A"/>
          <w:sz w:val="30"/>
        </w:rPr>
        <w:t>A Critical Reproduction Study</w:t>
      </w:r>
    </w:p>
    <w:p>
      <w:pPr>
        <w:jc w:val="center"/>
      </w:pPr>
      <w:r>
        <w:rPr>
          <w:color w:val="555555"/>
          <w:sz w:val="22"/>
        </w:rPr>
        <w:t>Data Science in Cyber  ·  Final Project  ·  Phishing Detection</w:t>
      </w:r>
    </w:p>
    <w:p>
      <w:pPr>
        <w:spacing w:after="200"/>
        <w:jc w:val="center"/>
      </w:pPr>
      <w:r>
        <w:rPr>
          <w:i/>
          <w:color w:val="555555"/>
          <w:sz w:val="20"/>
        </w:rPr>
        <w:t>Source evaluated: shreyagopal — Phishing Website Detection by Machine Learning Techniques</w:t>
      </w:r>
    </w:p>
    <w:p>
      <w:pPr>
        <w:spacing w:before="240" w:after="80"/>
        <w:pBdr>
          <w:bottom w:val="single" w:sz="6" w:space="2" w:color="999999"/>
        </w:pBdr>
      </w:pPr>
      <w:r>
        <w:rPr>
          <w:rFonts w:ascii="Times New Roman" w:hAnsi="Times New Roman"/>
          <w:b/>
          <w:color w:val="1A1A1A"/>
          <w:sz w:val="30"/>
        </w:rPr>
        <w:t>Executive Summary</w:t>
      </w:r>
    </w:p>
    <w:p>
      <w:pPr>
        <w:spacing w:after="140"/>
        <w:jc w:val="both"/>
      </w:pPr>
      <w:r>
        <w:rPr>
          <w:rFonts w:ascii="Times New Roman" w:hAnsi="Times New Roman"/>
          <w:b w:val="0"/>
          <w:i w:val="0"/>
          <w:color w:val="1A1A1A"/>
          <w:sz w:val="22"/>
        </w:rPr>
        <w:t>This project critically evaluates a widely used phishing-detection tutorial that extracts 17 URL features, assembles a balanced dataset of 10,000 URLs (50% phishing from PhishTank, 50% legitimate), trains six machine-learning classifiers, and reports test accuracy in the mid-80% range, concluding that XGBoost (~86%) is an effective phishing detector. We reproduced the full pipeline and tested whether that conclusion is supported by the evidence.</w:t>
      </w:r>
    </w:p>
    <w:p>
      <w:pPr>
        <w:spacing w:after="140"/>
        <w:jc w:val="both"/>
      </w:pPr>
      <w:r>
        <w:rPr>
          <w:rFonts w:ascii="Times New Roman" w:hAnsi="Times New Roman"/>
          <w:b/>
          <w:i w:val="0"/>
          <w:color w:val="1A1A1A"/>
          <w:sz w:val="22"/>
        </w:rPr>
        <w:t>The headline number reproduces, but it does not survive scrutiny.</w:t>
      </w:r>
      <w:r>
        <w:rPr>
          <w:rFonts w:ascii="Times New Roman" w:hAnsi="Times New Roman"/>
          <w:b w:val="0"/>
          <w:i w:val="0"/>
          <w:color w:val="1A1A1A"/>
          <w:sz w:val="22"/>
        </w:rPr>
        <w:t xml:space="preserve"> Our best model (Random Forest) reaches 86.9% accuracy, matching the author, but we show this figure is (i) </w:t>
      </w:r>
      <w:r>
        <w:rPr>
          <w:rFonts w:ascii="Times New Roman" w:hAnsi="Times New Roman"/>
          <w:b/>
          <w:i w:val="0"/>
          <w:color w:val="1A1A1A"/>
          <w:sz w:val="22"/>
        </w:rPr>
        <w:t>capped by the data, not the model</w:t>
      </w:r>
      <w:r>
        <w:rPr>
          <w:rFonts w:ascii="Times New Roman" w:hAnsi="Times New Roman"/>
          <w:b w:val="0"/>
          <w:i w:val="0"/>
          <w:color w:val="1A1A1A"/>
          <w:sz w:val="22"/>
        </w:rPr>
        <w:t xml:space="preserve">: the binarised features collapse the 10,000 URLs into only 771 distinct vectors, 63.8% of rows are ambiguous (identical features, both labels), and the Bayes-optimal accuracy ceiling is 86.8%, essentially where every model lands; (ii) </w:t>
      </w:r>
      <w:r>
        <w:rPr>
          <w:rFonts w:ascii="Times New Roman" w:hAnsi="Times New Roman"/>
          <w:b/>
          <w:i w:val="0"/>
          <w:color w:val="1A1A1A"/>
          <w:sz w:val="22"/>
        </w:rPr>
        <w:t>inflated by an unrealistic 50/50 class balance</w:t>
      </w:r>
      <w:r>
        <w:rPr>
          <w:rFonts w:ascii="Times New Roman" w:hAnsi="Times New Roman"/>
          <w:b w:val="0"/>
          <w:i w:val="0"/>
          <w:color w:val="1A1A1A"/>
          <w:sz w:val="22"/>
        </w:rPr>
        <w:t xml:space="preserve">: re-projected onto a realistic ~1% phishing prevalence, the precision a user would actually experience falls to 11.1%; and (iii) </w:t>
      </w:r>
      <w:r>
        <w:rPr>
          <w:rFonts w:ascii="Times New Roman" w:hAnsi="Times New Roman"/>
          <w:b/>
          <w:i w:val="0"/>
          <w:color w:val="1A1A1A"/>
          <w:sz w:val="22"/>
        </w:rPr>
        <w:t>partly built on a biased feature</w:t>
      </w:r>
      <w:r>
        <w:rPr>
          <w:rFonts w:ascii="Times New Roman" w:hAnsi="Times New Roman"/>
          <w:b w:val="0"/>
          <w:i w:val="0"/>
          <w:color w:val="1A1A1A"/>
          <w:sz w:val="22"/>
        </w:rPr>
        <w:t>: URL_Length equals 1 for 100.0% of legitimate rows, encoding which corpus a URL came from rather than whether it is phishing.</w:t>
      </w:r>
    </w:p>
    <w:p>
      <w:pPr>
        <w:spacing w:after="140"/>
        <w:jc w:val="both"/>
      </w:pPr>
      <w:r>
        <w:rPr>
          <w:rFonts w:ascii="Times New Roman" w:hAnsi="Times New Roman"/>
          <w:b w:val="0"/>
          <w:i w:val="0"/>
          <w:color w:val="1A1A1A"/>
          <w:sz w:val="22"/>
        </w:rPr>
        <w:t xml:space="preserve">We further find the feature-extraction code is </w:t>
      </w:r>
      <w:r>
        <w:rPr>
          <w:rFonts w:ascii="Times New Roman" w:hAnsi="Times New Roman"/>
          <w:b/>
          <w:i w:val="0"/>
          <w:color w:val="1A1A1A"/>
          <w:sz w:val="22"/>
        </w:rPr>
        <w:t>not reproducible today</w:t>
      </w:r>
      <w:r>
        <w:rPr>
          <w:rFonts w:ascii="Times New Roman" w:hAnsi="Times New Roman"/>
          <w:b w:val="0"/>
          <w:i w:val="0"/>
          <w:color w:val="1A1A1A"/>
          <w:sz w:val="22"/>
        </w:rPr>
        <w:t xml:space="preserve"> (it depends on Alexa rank, discontinued in 2022, and live WHOIS lookups), and that removing those features halves model quality (MCC 0.7436 to 0.433). Our verdict: the tutorial is a sound teaching example and the XGBoost-is-best claim holds, but the reported performance overstates real-world capability and should not be cited as evidence of ~86% deployable accuracy without the corrections we recommend.</w:t>
      </w:r>
    </w:p>
    <w:p>
      <w:r>
        <w:br w:type="page"/>
      </w:r>
    </w:p>
    <w:p>
      <w:pPr>
        <w:spacing w:before="240" w:after="80"/>
        <w:pBdr>
          <w:bottom w:val="single" w:sz="6" w:space="2" w:color="999999"/>
        </w:pBdr>
      </w:pPr>
      <w:r>
        <w:rPr>
          <w:rFonts w:ascii="Times New Roman" w:hAnsi="Times New Roman"/>
          <w:b/>
          <w:color w:val="1A1A1A"/>
          <w:sz w:val="30"/>
        </w:rPr>
        <w:t>1. Summary of the Source</w:t>
      </w:r>
    </w:p>
    <w:p>
      <w:pPr>
        <w:spacing w:before="160" w:after="40"/>
      </w:pPr>
      <w:r>
        <w:rPr>
          <w:rFonts w:ascii="Times New Roman" w:hAnsi="Times New Roman"/>
          <w:b/>
          <w:color w:val="1A1A1A"/>
          <w:sz w:val="24"/>
        </w:rPr>
        <w:t>Problem and why it matters</w:t>
      </w:r>
    </w:p>
    <w:p>
      <w:pPr>
        <w:spacing w:after="140"/>
        <w:jc w:val="both"/>
      </w:pPr>
      <w:r>
        <w:rPr>
          <w:rFonts w:ascii="Times New Roman" w:hAnsi="Times New Roman"/>
          <w:b w:val="0"/>
          <w:i w:val="0"/>
          <w:color w:val="1A1A1A"/>
          <w:sz w:val="22"/>
        </w:rPr>
        <w:t>Phishing websites impersonate trusted brands to steal credentials and payment data. They are short-lived, high-volume, and a leading initial-access vector for breaches. Detecting them automatically from the URL or page, before a user submits data, is therefore a core defensive capability, and one well suited to machine learning because individual phishing pages share recurring structural tells.</w:t>
      </w:r>
    </w:p>
    <w:p>
      <w:pPr>
        <w:spacing w:before="160" w:after="40"/>
      </w:pPr>
      <w:r>
        <w:rPr>
          <w:rFonts w:ascii="Times New Roman" w:hAnsi="Times New Roman"/>
          <w:b/>
          <w:color w:val="1A1A1A"/>
          <w:sz w:val="24"/>
        </w:rPr>
        <w:t>Proposed solution, dataset and methodology</w:t>
      </w:r>
    </w:p>
    <w:p>
      <w:pPr>
        <w:spacing w:after="140"/>
        <w:jc w:val="both"/>
      </w:pPr>
      <w:r>
        <w:rPr>
          <w:rFonts w:ascii="Times New Roman" w:hAnsi="Times New Roman"/>
          <w:b w:val="0"/>
          <w:i w:val="0"/>
          <w:color w:val="1A1A1A"/>
          <w:sz w:val="22"/>
        </w:rPr>
        <w:t xml:space="preserve">The source proposes a supervised URL classifier. It collects 5,000 phishing URLs from PhishTank and 5,000 legitimate URLs from a benign-URL corpus, then runs a custom feature extractor producing 17 features in three families: </w:t>
      </w:r>
      <w:r>
        <w:rPr>
          <w:rFonts w:ascii="Times New Roman" w:hAnsi="Times New Roman"/>
          <w:b w:val="0"/>
          <w:i/>
          <w:color w:val="1A1A1A"/>
          <w:sz w:val="22"/>
        </w:rPr>
        <w:t>address-bar / lexical</w:t>
      </w:r>
      <w:r>
        <w:rPr>
          <w:rFonts w:ascii="Times New Roman" w:hAnsi="Times New Roman"/>
          <w:b w:val="0"/>
          <w:i w:val="0"/>
          <w:color w:val="1A1A1A"/>
          <w:sz w:val="22"/>
        </w:rPr>
        <w:t xml:space="preserve"> (presence of an IP address, '@', URL length and depth, redirection, an 'https' token in the domain, URL shorteners, prefix/suffix hyphenation), </w:t>
      </w:r>
      <w:r>
        <w:rPr>
          <w:rFonts w:ascii="Times New Roman" w:hAnsi="Times New Roman"/>
          <w:b w:val="0"/>
          <w:i/>
          <w:color w:val="1A1A1A"/>
          <w:sz w:val="22"/>
        </w:rPr>
        <w:t>domain / host</w:t>
      </w:r>
      <w:r>
        <w:rPr>
          <w:rFonts w:ascii="Times New Roman" w:hAnsi="Times New Roman"/>
          <w:b w:val="0"/>
          <w:i w:val="0"/>
          <w:color w:val="1A1A1A"/>
          <w:sz w:val="22"/>
        </w:rPr>
        <w:t xml:space="preserve"> (DNS record existence, web-traffic rank, domain age and remaining registration period), and </w:t>
      </w:r>
      <w:r>
        <w:rPr>
          <w:rFonts w:ascii="Times New Roman" w:hAnsi="Times New Roman"/>
          <w:b w:val="0"/>
          <w:i/>
          <w:color w:val="1A1A1A"/>
          <w:sz w:val="22"/>
        </w:rPr>
        <w:t>HTML / JavaScript</w:t>
      </w:r>
      <w:r>
        <w:rPr>
          <w:rFonts w:ascii="Times New Roman" w:hAnsi="Times New Roman"/>
          <w:b w:val="0"/>
          <w:i w:val="0"/>
          <w:color w:val="1A1A1A"/>
          <w:sz w:val="22"/>
        </w:rPr>
        <w:t xml:space="preserve"> behaviour (iFrame redirection, status-bar manipulation, right-click disabling, forwarding). All features are reduced to binary indicators except URL depth. Six classifiers are trained and compared by test accuracy, with XGBoost reported best at roughly 86%.</w:t>
      </w:r>
    </w:p>
    <w:p>
      <w:pPr>
        <w:spacing w:before="240" w:after="80"/>
        <w:pBdr>
          <w:bottom w:val="single" w:sz="6" w:space="2" w:color="999999"/>
        </w:pBdr>
      </w:pPr>
      <w:r>
        <w:rPr>
          <w:rFonts w:ascii="Times New Roman" w:hAnsi="Times New Roman"/>
          <w:b/>
          <w:color w:val="1A1A1A"/>
          <w:sz w:val="30"/>
        </w:rPr>
        <w:t>2. Critical Evaluation of the Author's Claims</w:t>
      </w:r>
    </w:p>
    <w:p>
      <w:pPr>
        <w:spacing w:after="140"/>
        <w:jc w:val="both"/>
      </w:pPr>
      <w:r>
        <w:rPr>
          <w:rFonts w:ascii="Times New Roman" w:hAnsi="Times New Roman"/>
          <w:b w:val="0"/>
          <w:i w:val="0"/>
          <w:color w:val="1A1A1A"/>
          <w:sz w:val="22"/>
        </w:rPr>
        <w:t>We organise the critique around the author's explicit and implicit claims, confronting each with evidence from our reproduction. The summary verdict: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val="clear" w:color="auto" w:fill="E6E6E6"/>
          </w:tcPr>
          <w:p>
            <w:r>
              <w:rPr>
                <w:rFonts w:ascii="Times New Roman" w:hAnsi="Times New Roman"/>
                <w:b/>
                <w:i w:val="0"/>
                <w:color w:val="1A1A1A"/>
                <w:sz w:val="18"/>
              </w:rPr>
              <w:t>Author's claim</w:t>
            </w:r>
          </w:p>
        </w:tc>
        <w:tc>
          <w:tcPr>
            <w:tcW w:type="dxa" w:w="5040"/>
            <w:shd w:val="clear" w:color="auto" w:fill="E6E6E6"/>
          </w:tcPr>
          <w:p>
            <w:r>
              <w:rPr>
                <w:rFonts w:ascii="Times New Roman" w:hAnsi="Times New Roman"/>
                <w:b/>
                <w:i w:val="0"/>
                <w:color w:val="1A1A1A"/>
                <w:sz w:val="18"/>
              </w:rPr>
              <w:t>Our evidence</w:t>
            </w:r>
          </w:p>
        </w:tc>
        <w:tc>
          <w:tcPr>
            <w:tcW w:type="dxa" w:w="2016"/>
            <w:shd w:val="clear" w:color="auto" w:fill="E6E6E6"/>
          </w:tcPr>
          <w:p>
            <w:r>
              <w:rPr>
                <w:rFonts w:ascii="Times New Roman" w:hAnsi="Times New Roman"/>
                <w:b/>
                <w:i w:val="0"/>
                <w:color w:val="1A1A1A"/>
                <w:sz w:val="18"/>
              </w:rPr>
              <w:t>Verdict</w:t>
            </w:r>
          </w:p>
        </w:tc>
      </w:tr>
      <w:tr>
        <w:tc>
          <w:tcPr>
            <w:tcW w:type="dxa" w:w="2592"/>
            <w:shd w:val="clear" w:color="auto" w:fill="F4F4F4"/>
          </w:tcPr>
          <w:p>
            <w:r>
              <w:rPr>
                <w:rFonts w:ascii="Times New Roman" w:hAnsi="Times New Roman"/>
                <w:b w:val="0"/>
                <w:i w:val="0"/>
                <w:color w:val="1A1A1A"/>
                <w:sz w:val="18"/>
              </w:rPr>
              <w:t>~86% accuracy means an effective detector</w:t>
            </w:r>
          </w:p>
        </w:tc>
        <w:tc>
          <w:tcPr>
            <w:tcW w:type="dxa" w:w="5040"/>
            <w:shd w:val="clear" w:color="auto" w:fill="F4F4F4"/>
          </w:tcPr>
          <w:p>
            <w:r>
              <w:rPr>
                <w:rFonts w:ascii="Times New Roman" w:hAnsi="Times New Roman"/>
                <w:b w:val="0"/>
                <w:i w:val="0"/>
                <w:color w:val="1A1A1A"/>
                <w:sz w:val="18"/>
              </w:rPr>
              <w:t>Reproduced (86.9%), but it equals the 86.8% information ceiling and collapses under realistic prevalence</w:t>
            </w:r>
          </w:p>
        </w:tc>
        <w:tc>
          <w:tcPr>
            <w:tcW w:type="dxa" w:w="2016"/>
            <w:shd w:val="clear" w:color="auto" w:fill="F4F4F4"/>
          </w:tcPr>
          <w:p>
            <w:r>
              <w:rPr>
                <w:rFonts w:ascii="Times New Roman" w:hAnsi="Times New Roman"/>
                <w:b w:val="0"/>
                <w:i w:val="0"/>
                <w:color w:val="1A1A1A"/>
                <w:sz w:val="18"/>
              </w:rPr>
              <w:t>Partially supported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b w:val="0"/>
                <w:i w:val="0"/>
                <w:color w:val="1A1A1A"/>
                <w:sz w:val="18"/>
              </w:rPr>
              <w:t>The features capture phishing behaviour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b w:val="0"/>
                <w:i w:val="0"/>
                <w:color w:val="1A1A1A"/>
                <w:sz w:val="18"/>
              </w:rPr>
              <w:t>The top feature URL_Length = 1 for 100.0% of legitimate rows, so it encodes the data source, not phishing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b w:val="0"/>
                <w:i w:val="0"/>
                <w:color w:val="1A1A1A"/>
                <w:sz w:val="18"/>
              </w:rPr>
              <w:t>Not supported (leakage)</w:t>
            </w:r>
          </w:p>
        </w:tc>
      </w:tr>
      <w:tr>
        <w:tc>
          <w:tcPr>
            <w:tcW w:type="dxa" w:w="2592"/>
            <w:shd w:val="clear" w:color="auto" w:fill="F4F4F4"/>
          </w:tcPr>
          <w:p>
            <w:r>
              <w:rPr>
                <w:rFonts w:ascii="Times New Roman" w:hAnsi="Times New Roman"/>
                <w:b w:val="0"/>
                <w:i w:val="0"/>
                <w:color w:val="1A1A1A"/>
                <w:sz w:val="18"/>
              </w:rPr>
              <w:t>The pipeline is reproducible</w:t>
            </w:r>
          </w:p>
        </w:tc>
        <w:tc>
          <w:tcPr>
            <w:tcW w:type="dxa" w:w="5040"/>
            <w:shd w:val="clear" w:color="auto" w:fill="F4F4F4"/>
          </w:tcPr>
          <w:p>
            <w:r>
              <w:rPr>
                <w:rFonts w:ascii="Times New Roman" w:hAnsi="Times New Roman"/>
                <w:b w:val="0"/>
                <w:i w:val="0"/>
                <w:color w:val="1A1A1A"/>
                <w:sz w:val="18"/>
              </w:rPr>
              <w:t>The extractor needs Alexa rank (discontinued 2022) and live WHOIS lookups; missing values were silently set to 0</w:t>
            </w:r>
          </w:p>
        </w:tc>
        <w:tc>
          <w:tcPr>
            <w:tcW w:type="dxa" w:w="2016"/>
            <w:shd w:val="clear" w:color="auto" w:fill="F4F4F4"/>
          </w:tcPr>
          <w:p>
            <w:r>
              <w:rPr>
                <w:rFonts w:ascii="Times New Roman" w:hAnsi="Times New Roman"/>
                <w:b w:val="0"/>
                <w:i w:val="0"/>
                <w:color w:val="1A1A1A"/>
                <w:sz w:val="18"/>
              </w:rPr>
              <w:t>Not reproducible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b w:val="0"/>
                <w:i w:val="0"/>
                <w:color w:val="1A1A1A"/>
                <w:sz w:val="18"/>
              </w:rPr>
              <w:t>A balanced dataset is acceptable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b w:val="0"/>
                <w:i w:val="0"/>
                <w:color w:val="1A1A1A"/>
                <w:sz w:val="18"/>
              </w:rPr>
              <w:t>Real prevalence is ~1%, where precision falls to 11.1%; the author never resamples or notes it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b w:val="0"/>
                <w:i w:val="0"/>
                <w:color w:val="1A1A1A"/>
                <w:sz w:val="18"/>
              </w:rPr>
              <w:t>Not addressed</w:t>
            </w:r>
          </w:p>
        </w:tc>
      </w:tr>
      <w:tr>
        <w:tc>
          <w:tcPr>
            <w:tcW w:type="dxa" w:w="2592"/>
            <w:shd w:val="clear" w:color="auto" w:fill="F4F4F4"/>
          </w:tcPr>
          <w:p>
            <w:r>
              <w:rPr>
                <w:rFonts w:ascii="Times New Roman" w:hAnsi="Times New Roman"/>
                <w:b w:val="0"/>
                <w:i w:val="0"/>
                <w:color w:val="1A1A1A"/>
                <w:sz w:val="18"/>
              </w:rPr>
              <w:t>XGBoost is the best model</w:t>
            </w:r>
          </w:p>
        </w:tc>
        <w:tc>
          <w:tcPr>
            <w:tcW w:type="dxa" w:w="5040"/>
            <w:shd w:val="clear" w:color="auto" w:fill="F4F4F4"/>
          </w:tcPr>
          <w:p>
            <w:r>
              <w:rPr>
                <w:rFonts w:ascii="Times New Roman" w:hAnsi="Times New Roman"/>
                <w:b w:val="0"/>
                <w:i w:val="0"/>
                <w:color w:val="1A1A1A"/>
                <w:sz w:val="18"/>
              </w:rPr>
              <w:t>Confirmed best by both accuracy and MCC in our reproduction</w:t>
            </w:r>
          </w:p>
        </w:tc>
        <w:tc>
          <w:tcPr>
            <w:tcW w:type="dxa" w:w="2016"/>
            <w:shd w:val="clear" w:color="auto" w:fill="F4F4F4"/>
          </w:tcPr>
          <w:p>
            <w:r>
              <w:rPr>
                <w:rFonts w:ascii="Times New Roman" w:hAnsi="Times New Roman"/>
                <w:b w:val="0"/>
                <w:i w:val="0"/>
                <w:color w:val="1A1A1A"/>
                <w:sz w:val="18"/>
              </w:rPr>
              <w:t>Supported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Times New Roman" w:hAnsi="Times New Roman"/>
          <w:b/>
          <w:color w:val="1A1A1A"/>
          <w:sz w:val="24"/>
        </w:rPr>
        <w:t>2.1 Accuracy is the wrong headline metric</w:t>
      </w:r>
    </w:p>
    <w:p>
      <w:pPr>
        <w:spacing w:after="140"/>
        <w:jc w:val="both"/>
      </w:pPr>
      <w:r>
        <w:rPr>
          <w:rFonts w:ascii="Times New Roman" w:hAnsi="Times New Roman"/>
          <w:b w:val="0"/>
          <w:i w:val="0"/>
          <w:color w:val="1A1A1A"/>
          <w:sz w:val="22"/>
        </w:rPr>
        <w:t xml:space="preserve">The dataset is a perfect 50/50 split, so a coin flip already scores 50% and accuracy is flattering by construction. More importantly, the 17 coarse features map all 10,000 URLs onto just 771 distinct vectors; 63.8% of rows are ambiguous, meaning the same feature vector occurs as both phishing and legitimate. The majority-vote (Bayes-optimal) accuracy on this representation is therefore 86.8%, and our best model (86.9%) already sits on that wall. The six models clustering in the mid-80s is not evidence that the signal is strong; they are all hitting the </w:t>
      </w:r>
      <w:r>
        <w:rPr>
          <w:rFonts w:ascii="Times New Roman" w:hAnsi="Times New Roman"/>
          <w:b/>
          <w:i w:val="0"/>
          <w:color w:val="1A1A1A"/>
          <w:sz w:val="22"/>
        </w:rPr>
        <w:t>same information ceiling</w:t>
      </w:r>
      <w:r>
        <w:rPr>
          <w:rFonts w:ascii="Times New Roman" w:hAnsi="Times New Roman"/>
          <w:b w:val="0"/>
          <w:i w:val="0"/>
          <w:color w:val="1A1A1A"/>
          <w:sz w:val="22"/>
        </w:rPr>
        <w:t>. Figure 1 makes this concrete.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039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03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8"/>
        </w:rPr>
        <w:t>Figure 1. Model comparison. Every classifier plateaus just below the 86.8% information ceiling of the binarised features, regardless of its sophistication.</w:t>
      </w:r>
    </w:p>
    <w:p>
      <w:pPr>
        <w:spacing w:before="160" w:after="40"/>
      </w:pPr>
      <w:r>
        <w:rPr>
          <w:rFonts w:ascii="Times New Roman" w:hAnsi="Times New Roman"/>
          <w:b/>
          <w:color w:val="1A1A1A"/>
          <w:sz w:val="24"/>
        </w:rPr>
        <w:t>2.2 A leaky, source-revealing feature</w:t>
      </w:r>
    </w:p>
    <w:p>
      <w:pPr>
        <w:spacing w:after="140"/>
        <w:jc w:val="both"/>
      </w:pPr>
      <w:r>
        <w:rPr>
          <w:rFonts w:ascii="Times New Roman" w:hAnsi="Times New Roman"/>
          <w:b w:val="0"/>
          <w:i w:val="0"/>
          <w:color w:val="1A1A1A"/>
          <w:sz w:val="22"/>
        </w:rPr>
        <w:t>URL_Length is the single most predictive feature, yet it equals 1 ('long URL') for 100.0% of legitimate rows versus only ~55% of phishing rows. This is not a property of phishing; it is an artefact of how the two corpora were sampled (legitimate URLs were full deep links, all long, while PhishTank entries are often bare domains). The classifier partly learns which file a row came from, a classic selection-bias leak. Figure 2 shows that, beyond URL_Length and prefix/suffix hyphenation, most flags sit close to the 0.5 base rate and carry little signal.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394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sig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39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8"/>
        </w:rPr>
        <w:t>Figure 2. Probability of phishing given each binary feature equals 1. Bars near the dashed 0.5 line carry almost no discriminative information; only a few features are genuinely predictive.</w:t>
      </w:r>
    </w:p>
    <w:p>
      <w:pPr>
        <w:spacing w:before="160" w:after="40"/>
      </w:pPr>
      <w:r>
        <w:rPr>
          <w:rFonts w:ascii="Times New Roman" w:hAnsi="Times New Roman"/>
          <w:b/>
          <w:color w:val="1A1A1A"/>
          <w:sz w:val="24"/>
        </w:rPr>
        <w:t>2.3 The balanced-data illusion</w:t>
      </w:r>
    </w:p>
    <w:p>
      <w:pPr>
        <w:spacing w:after="140"/>
        <w:jc w:val="both"/>
      </w:pPr>
      <w:r>
        <w:rPr>
          <w:rFonts w:ascii="Times New Roman" w:hAnsi="Times New Roman"/>
          <w:b w:val="0"/>
          <w:i w:val="0"/>
          <w:color w:val="1A1A1A"/>
          <w:sz w:val="22"/>
        </w:rPr>
        <w:t>Phishing is rare in real traffic (well under 1%). The dataset's perfect balance (Figure 3) is therefore an artefact of construction, not a reflection of deployment.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0000" cy="21356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bal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135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8"/>
        </w:rPr>
        <w:t>Figure 3. The dataset is split exactly 50/50 by construction, which inflates accuracy and hides the precision problem that appears at realistic prevalence.</w:t>
      </w:r>
    </w:p>
    <w:p>
      <w:pPr>
        <w:spacing w:after="140"/>
        <w:jc w:val="both"/>
      </w:pPr>
      <w:r>
        <w:rPr>
          <w:rFonts w:ascii="Times New Roman" w:hAnsi="Times New Roman"/>
          <w:b w:val="0"/>
          <w:i w:val="0"/>
          <w:color w:val="1A1A1A"/>
          <w:sz w:val="22"/>
        </w:rPr>
        <w:t>Holding the model's measured detection rate (80.2%) and false-positive rate (6.5%) fixed and re-projecting onto lower base rates (Figure 4), the precision a user would experience drops to 11.1% at ~1% prevalence: most alerts would be false alarms. The author neither resamples toward realistic prevalence nor reports prevalence-robust metrics, so the stated performance does not represent deployment.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0234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alence_preci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2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8"/>
        </w:rPr>
        <w:t>Figure 4. Precision experienced in deployment as a function of true phishing prevalence (log scale). It collapses from the dataset's optimistic value to about 11.1% at a realistic 1% base rate.</w:t>
      </w:r>
    </w:p>
    <w:p>
      <w:pPr>
        <w:spacing w:before="160" w:after="40"/>
      </w:pPr>
      <w:r>
        <w:rPr>
          <w:rFonts w:ascii="Times New Roman" w:hAnsi="Times New Roman"/>
          <w:b/>
          <w:color w:val="1A1A1A"/>
          <w:sz w:val="24"/>
        </w:rPr>
        <w:t>2.4 Methodology gaps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color w:val="1A1A1A"/>
          <w:sz w:val="22"/>
        </w:rPr>
        <w:t>No cross-validation in the original (a single split); we add 5-fold stratified CV.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color w:val="1A1A1A"/>
          <w:sz w:val="22"/>
        </w:rPr>
        <w:t>No discussion of the false-positive / false-negative trade-off, despite the strong cost asymmetry in phishing (a miss hands a user to an attacker).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color w:val="1A1A1A"/>
          <w:sz w:val="22"/>
        </w:rPr>
        <w:t>A purely random split over a dataset where identical feature vectors recur thousands of times causes mild train/test contamination, flattering the hold-out score.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color w:val="1A1A1A"/>
          <w:sz w:val="22"/>
        </w:rPr>
        <w:t>No temporal validation, although phishing is highly non-stationary (concept drift).</w:t>
      </w:r>
    </w:p>
    <w:p>
      <w:pPr>
        <w:spacing w:after="140"/>
        <w:jc w:val="both"/>
      </w:pPr>
      <w:r>
        <w:rPr>
          <w:rFonts w:ascii="Times New Roman" w:hAnsi="Times New Roman"/>
          <w:b/>
          <w:i w:val="0"/>
          <w:color w:val="1A1A1A"/>
          <w:sz w:val="22"/>
        </w:rPr>
        <w:t>Are the conclusions justified?</w:t>
      </w:r>
      <w:r>
        <w:rPr>
          <w:rFonts w:ascii="Times New Roman" w:hAnsi="Times New Roman"/>
          <w:b w:val="0"/>
          <w:i w:val="0"/>
          <w:color w:val="1A1A1A"/>
          <w:sz w:val="22"/>
        </w:rPr>
        <w:t xml:space="preserve"> Partly. 'XGBoost performs best here' is justified. 'This is an effective phishing detector at ~86%' is </w:t>
      </w:r>
      <w:r>
        <w:rPr>
          <w:rFonts w:ascii="Times New Roman" w:hAnsi="Times New Roman"/>
          <w:b/>
          <w:i w:val="0"/>
          <w:color w:val="1A1A1A"/>
          <w:sz w:val="22"/>
        </w:rPr>
        <w:t>not</w:t>
      </w:r>
      <w:r>
        <w:rPr>
          <w:rFonts w:ascii="Times New Roman" w:hAnsi="Times New Roman"/>
          <w:b w:val="0"/>
          <w:i w:val="0"/>
          <w:color w:val="1A1A1A"/>
          <w:sz w:val="22"/>
        </w:rPr>
        <w:t xml:space="preserve"> justified as a real-world claim: the number is a ceiling artefact, measured under unrealistic balance, and propped up by a biased and non-reproducible feature.</w:t>
      </w:r>
    </w:p>
    <w:p>
      <w:pPr>
        <w:spacing w:before="240" w:after="80"/>
        <w:pBdr>
          <w:bottom w:val="single" w:sz="6" w:space="2" w:color="999999"/>
        </w:pBdr>
      </w:pPr>
      <w:r>
        <w:rPr>
          <w:rFonts w:ascii="Times New Roman" w:hAnsi="Times New Roman"/>
          <w:b/>
          <w:color w:val="1A1A1A"/>
          <w:sz w:val="30"/>
        </w:rPr>
        <w:t>3. Feature Engineering Analysis</w:t>
      </w:r>
    </w:p>
    <w:p>
      <w:pPr>
        <w:spacing w:after="140"/>
        <w:jc w:val="both"/>
      </w:pPr>
      <w:r>
        <w:rPr>
          <w:rFonts w:ascii="Times New Roman" w:hAnsi="Times New Roman"/>
          <w:b/>
          <w:i w:val="0"/>
          <w:color w:val="1A1A1A"/>
          <w:sz w:val="22"/>
        </w:rPr>
        <w:t>Was feature engineering performed?</w:t>
      </w:r>
      <w:r>
        <w:rPr>
          <w:rFonts w:ascii="Times New Roman" w:hAnsi="Times New Roman"/>
          <w:b w:val="0"/>
          <w:i w:val="0"/>
          <w:color w:val="1A1A1A"/>
          <w:sz w:val="22"/>
        </w:rPr>
        <w:t xml:space="preserve"> Yes, but it is largely destructive binarisation. Continuous signals (URL length, domain age, traffic rank) are thresholded into single 0/1 flags. Mathematically this discards the information needed to separate the 63.8% of rows that become ambiguous; in security terms it throws away the granularity (how long, how new) that distinguishes a borderline phishing domain from a benign one.</w:t>
      </w:r>
    </w:p>
    <w:p>
      <w:pPr>
        <w:spacing w:before="160" w:after="40"/>
      </w:pPr>
      <w:r>
        <w:rPr>
          <w:rFonts w:ascii="Times New Roman" w:hAnsi="Times New Roman"/>
          <w:b/>
          <w:color w:val="1A1A1A"/>
          <w:sz w:val="24"/>
        </w:rPr>
        <w:t>Transformations, scaling and encoding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color w:val="1A1A1A"/>
          <w:sz w:val="22"/>
        </w:rPr>
        <w:t>Encoding:</w:t>
      </w:r>
      <w:r>
        <w:rPr>
          <w:rFonts w:ascii="Times New Roman" w:hAnsi="Times New Roman"/>
          <w:b w:val="0"/>
          <w:i w:val="0"/>
          <w:color w:val="1A1A1A"/>
          <w:sz w:val="22"/>
        </w:rPr>
        <w:t xml:space="preserve"> none required for modelling; the features arrive pre-encoded as 0/1 indicators. We keep URL_Depth as an ordinal count rather than one-hot, preserving order.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color w:val="1A1A1A"/>
          <w:sz w:val="22"/>
        </w:rPr>
        <w:t>Scaling:</w:t>
      </w:r>
      <w:r>
        <w:rPr>
          <w:rFonts w:ascii="Times New Roman" w:hAnsi="Times New Roman"/>
          <w:b w:val="0"/>
          <w:i w:val="0"/>
          <w:color w:val="1A1A1A"/>
          <w:sz w:val="22"/>
        </w:rPr>
        <w:t xml:space="preserve"> tree models are scale-invariant; KNN, SVM and Logistic Regression are wrapped in a StandardScaler pipeline (fit on training folds only, so no leakage).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color w:val="1A1A1A"/>
          <w:sz w:val="22"/>
        </w:rPr>
        <w:t>Feature creation:</w:t>
      </w:r>
      <w:r>
        <w:rPr>
          <w:rFonts w:ascii="Times New Roman" w:hAnsi="Times New Roman"/>
          <w:b w:val="0"/>
          <w:i w:val="0"/>
          <w:color w:val="1A1A1A"/>
          <w:sz w:val="22"/>
        </w:rPr>
        <w:t xml:space="preserve"> we add a suspicion_score, the sum of the source-independent lexical flags, giving an interpretable, drift-resistant signal that isolates performance not dependent on the leaky WHOIS/Alexa features.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color w:val="1A1A1A"/>
          <w:sz w:val="22"/>
        </w:rPr>
        <w:t>Dimensionality reduction:</w:t>
      </w:r>
      <w:r>
        <w:rPr>
          <w:rFonts w:ascii="Times New Roman" w:hAnsi="Times New Roman"/>
          <w:b w:val="0"/>
          <w:i w:val="0"/>
          <w:color w:val="1A1A1A"/>
          <w:sz w:val="22"/>
        </w:rPr>
        <w:t xml:space="preserve"> PCA needs almost all components to reach 90% variance (Figure 5), so it buys no compression and harms interpretability; we reject it and use mutual-information feature selection instead.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7482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a_scre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748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8"/>
        </w:rPr>
        <w:t>Figure 5. PCA cumulative explained variance. The binary indicators share no latent structure, so nearly all components are needed for 90% variance and dimensionality reduction adds no value.</w:t>
      </w:r>
    </w:p>
    <w:p>
      <w:pPr>
        <w:spacing w:before="160" w:after="40"/>
      </w:pPr>
      <w:r>
        <w:rPr>
          <w:rFonts w:ascii="Times New Roman" w:hAnsi="Times New Roman"/>
          <w:b/>
          <w:color w:val="1A1A1A"/>
          <w:sz w:val="24"/>
        </w:rPr>
        <w:t>Redundancy</w:t>
      </w:r>
    </w:p>
    <w:p>
      <w:pPr>
        <w:spacing w:after="140"/>
        <w:jc w:val="both"/>
      </w:pPr>
      <w:r>
        <w:rPr>
          <w:rFonts w:ascii="Times New Roman" w:hAnsi="Times New Roman"/>
          <w:b w:val="0"/>
          <w:i w:val="0"/>
          <w:color w:val="1A1A1A"/>
          <w:sz w:val="22"/>
        </w:rPr>
        <w:t>Redundancy is severe: 9,229 of 10,000 rows duplicate another row in feature space, two features (https_Domain, Right_Click) are near-constant and carry no information, and several flags have near-zero mutual information with the label. The correlation structure in Figure 6 confirms it. We spot redundancy with three complementary tools (a Spearman correlation matrix, mutual-information ranking, and near-zero-variance detection) and tackle it by dropping the constant features.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40562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arman_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056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8"/>
        </w:rPr>
        <w:t>Figure 6. Spearman correlation matrix (chosen over Pearson because the features are ordinal and binary). Most off-diagonal correlations are weak, and only a few features correlate with the label.</w:t>
      </w:r>
    </w:p>
    <w:p>
      <w:pPr>
        <w:spacing w:before="160" w:after="40"/>
      </w:pPr>
      <w:r>
        <w:rPr>
          <w:rFonts w:ascii="Times New Roman" w:hAnsi="Times New Roman"/>
          <w:b/>
          <w:color w:val="1A1A1A"/>
          <w:sz w:val="24"/>
        </w:rPr>
        <w:t>Additional features that could help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color w:val="1A1A1A"/>
          <w:sz w:val="22"/>
        </w:rPr>
        <w:t>Character-level URL entropy and token statistics (random-looking hostnames).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color w:val="1A1A1A"/>
          <w:sz w:val="22"/>
        </w:rPr>
        <w:t>Domain and brand edit-distance and homograph (look-alike) detection.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color w:val="1A1A1A"/>
          <w:sz w:val="22"/>
        </w:rPr>
        <w:t>TLS certificate age, issuer and validity; favicon / domain mismatch.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color w:val="1A1A1A"/>
          <w:sz w:val="22"/>
        </w:rPr>
        <w:t>Hosting / ASN reputation and passive-DNS age, via stable APIs rather than discontinued Alexa rank.</w:t>
      </w:r>
    </w:p>
    <w:p>
      <w:pPr>
        <w:spacing w:before="240" w:after="80"/>
        <w:pBdr>
          <w:bottom w:val="single" w:sz="6" w:space="2" w:color="999999"/>
        </w:pBdr>
      </w:pPr>
      <w:r>
        <w:rPr>
          <w:rFonts w:ascii="Times New Roman" w:hAnsi="Times New Roman"/>
          <w:b/>
          <w:color w:val="1A1A1A"/>
          <w:sz w:val="30"/>
        </w:rPr>
        <w:t>4. Reproducibility Analysis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color w:val="1A1A1A"/>
          <w:sz w:val="22"/>
        </w:rPr>
        <w:t>Can the modelling code run?</w:t>
      </w:r>
      <w:r>
        <w:rPr>
          <w:rFonts w:ascii="Times New Roman" w:hAnsi="Times New Roman"/>
          <w:b w:val="0"/>
          <w:i w:val="0"/>
          <w:color w:val="1A1A1A"/>
          <w:sz w:val="22"/>
        </w:rPr>
        <w:t xml:space="preserve"> Yes; given the supplied CSV, the training and evaluation pipeline executes cleanly (we reproduced it end-to-end).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color w:val="1A1A1A"/>
          <w:sz w:val="22"/>
        </w:rPr>
        <w:t>Can the feature extraction run?</w:t>
      </w:r>
      <w:r>
        <w:rPr>
          <w:rFonts w:ascii="Times New Roman" w:hAnsi="Times New Roman"/>
          <w:b w:val="0"/>
          <w:i w:val="0"/>
          <w:color w:val="1A1A1A"/>
          <w:sz w:val="22"/>
        </w:rPr>
        <w:t xml:space="preserve"> No, not as published. It calls Alexa for web-traffic rank (discontinued in 2022) and performs live WHOIS lookups for domain age, which are slow, rate-limited and time-dependent. Re-extracting today yields different values.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color w:val="1A1A1A"/>
          <w:sz w:val="22"/>
        </w:rPr>
        <w:t>Hidden preprocessing:</w:t>
      </w:r>
      <w:r>
        <w:rPr>
          <w:rFonts w:ascii="Times New Roman" w:hAnsi="Times New Roman"/>
          <w:b w:val="0"/>
          <w:i w:val="0"/>
          <w:color w:val="1A1A1A"/>
          <w:sz w:val="22"/>
        </w:rPr>
        <w:t xml:space="preserve"> the dataset reports zero missing values, which is implausible for WHOIS-derived fields; lookup failures were most likely silently coerced to 0, conflating 'unknown' with 'absent', an undocumented and label-correlated step.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color w:val="1A1A1A"/>
          <w:sz w:val="22"/>
        </w:rPr>
        <w:t>Files and dependencies:</w:t>
      </w:r>
      <w:r>
        <w:rPr>
          <w:rFonts w:ascii="Times New Roman" w:hAnsi="Times New Roman"/>
          <w:b w:val="0"/>
          <w:i w:val="0"/>
          <w:color w:val="1A1A1A"/>
          <w:sz w:val="22"/>
        </w:rPr>
        <w:t xml:space="preserve"> the CSV and notebooks are provided, but versions are not pinned and the extractor's external dependency (Alexa) no longer exists.</w:t>
      </w:r>
    </w:p>
    <w:p>
      <w:pPr>
        <w:spacing w:after="140"/>
        <w:jc w:val="both"/>
      </w:pPr>
      <w:r>
        <w:rPr>
          <w:rFonts w:ascii="Times New Roman" w:hAnsi="Times New Roman"/>
          <w:b/>
          <w:i w:val="0"/>
          <w:color w:val="1A1A1A"/>
          <w:sz w:val="22"/>
        </w:rPr>
        <w:t>Overall:</w:t>
      </w:r>
      <w:r>
        <w:rPr>
          <w:rFonts w:ascii="Times New Roman" w:hAnsi="Times New Roman"/>
          <w:b w:val="0"/>
          <w:i w:val="0"/>
          <w:color w:val="1A1A1A"/>
          <w:sz w:val="22"/>
        </w:rPr>
        <w:t xml:space="preserve"> the results are re-runnable on the frozen CSV but the study is not reproducible from raw URLs, a critical distinction for a security tool that must be retrained as phishing evolves.</w:t>
      </w:r>
    </w:p>
    <w:p>
      <w:pPr>
        <w:spacing w:before="240" w:after="80"/>
        <w:pBdr>
          <w:bottom w:val="single" w:sz="6" w:space="2" w:color="999999"/>
        </w:pBdr>
      </w:pPr>
      <w:r>
        <w:rPr>
          <w:rFonts w:ascii="Times New Roman" w:hAnsi="Times New Roman"/>
          <w:b/>
          <w:color w:val="1A1A1A"/>
          <w:sz w:val="30"/>
        </w:rPr>
        <w:t>5. Experimental Results</w:t>
      </w:r>
    </w:p>
    <w:p>
      <w:pPr>
        <w:spacing w:after="140"/>
        <w:jc w:val="both"/>
      </w:pPr>
      <w:r>
        <w:rPr>
          <w:rFonts w:ascii="Times New Roman" w:hAnsi="Times New Roman"/>
          <w:b w:val="0"/>
          <w:i w:val="0"/>
          <w:color w:val="1A1A1A"/>
          <w:sz w:val="22"/>
        </w:rPr>
        <w:t>We trained six classifiers with a fixed seed (42), a stratified 80/20 split, and 5-fold stratified cross-validation. Models requiring scaling were pipelined with StandardScaler. We led with MCC and F2 (beta = 2, because a missed phishing page is costlier than a false alarm) rather than accuracy. Results on the held-out test set are shown below, sorted by MCC, the prevalence-robust score.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  <w:shd w:val="clear" w:color="auto" w:fill="E6E6E6"/>
          </w:tcPr>
          <w:p>
            <w:pPr>
              <w:jc w:val="center"/>
            </w:pPr>
            <w:r>
              <w:rPr>
                <w:b/>
                <w:sz w:val="17"/>
              </w:rPr>
              <w:t>Model</w:t>
            </w:r>
          </w:p>
        </w:tc>
        <w:tc>
          <w:tcPr>
            <w:tcW w:type="dxa" w:w="1206"/>
            <w:shd w:val="clear" w:color="auto" w:fill="E6E6E6"/>
          </w:tcPr>
          <w:p>
            <w:pPr>
              <w:jc w:val="center"/>
            </w:pPr>
            <w:r>
              <w:rPr>
                <w:b/>
                <w:sz w:val="17"/>
              </w:rPr>
              <w:t>ACCURACY</w:t>
            </w:r>
          </w:p>
        </w:tc>
        <w:tc>
          <w:tcPr>
            <w:tcW w:type="dxa" w:w="1206"/>
            <w:shd w:val="clear" w:color="auto" w:fill="E6E6E6"/>
          </w:tcPr>
          <w:p>
            <w:pPr>
              <w:jc w:val="center"/>
            </w:pPr>
            <w:r>
              <w:rPr>
                <w:b/>
                <w:sz w:val="17"/>
              </w:rPr>
              <w:t>PRECISION</w:t>
            </w:r>
          </w:p>
        </w:tc>
        <w:tc>
          <w:tcPr>
            <w:tcW w:type="dxa" w:w="1206"/>
            <w:shd w:val="clear" w:color="auto" w:fill="E6E6E6"/>
          </w:tcPr>
          <w:p>
            <w:pPr>
              <w:jc w:val="center"/>
            </w:pPr>
            <w:r>
              <w:rPr>
                <w:b/>
                <w:sz w:val="17"/>
              </w:rPr>
              <w:t>RECALL</w:t>
            </w:r>
          </w:p>
        </w:tc>
        <w:tc>
          <w:tcPr>
            <w:tcW w:type="dxa" w:w="1206"/>
            <w:shd w:val="clear" w:color="auto" w:fill="E6E6E6"/>
          </w:tcPr>
          <w:p>
            <w:pPr>
              <w:jc w:val="center"/>
            </w:pPr>
            <w:r>
              <w:rPr>
                <w:b/>
                <w:sz w:val="17"/>
              </w:rPr>
              <w:t>F1</w:t>
            </w:r>
          </w:p>
        </w:tc>
        <w:tc>
          <w:tcPr>
            <w:tcW w:type="dxa" w:w="1206"/>
            <w:shd w:val="clear" w:color="auto" w:fill="E6E6E6"/>
          </w:tcPr>
          <w:p>
            <w:pPr>
              <w:jc w:val="center"/>
            </w:pPr>
            <w:r>
              <w:rPr>
                <w:b/>
                <w:sz w:val="17"/>
              </w:rPr>
              <w:t>F2</w:t>
            </w:r>
          </w:p>
        </w:tc>
        <w:tc>
          <w:tcPr>
            <w:tcW w:type="dxa" w:w="1206"/>
            <w:shd w:val="clear" w:color="auto" w:fill="E6E6E6"/>
          </w:tcPr>
          <w:p>
            <w:pPr>
              <w:jc w:val="center"/>
            </w:pPr>
            <w:r>
              <w:rPr>
                <w:b/>
                <w:sz w:val="17"/>
              </w:rPr>
              <w:t>MCC</w:t>
            </w:r>
          </w:p>
        </w:tc>
        <w:tc>
          <w:tcPr>
            <w:tcW w:type="dxa" w:w="1206"/>
            <w:shd w:val="clear" w:color="auto" w:fill="E6E6E6"/>
          </w:tcPr>
          <w:p>
            <w:pPr>
              <w:jc w:val="center"/>
            </w:pPr>
            <w:r>
              <w:rPr>
                <w:b/>
                <w:sz w:val="17"/>
              </w:rPr>
              <w:t>ROC_AUC</w:t>
            </w:r>
          </w:p>
        </w:tc>
      </w:tr>
      <w:tr>
        <w:tc>
          <w:tcPr>
            <w:tcW w:type="dxa" w:w="1206"/>
          </w:tcPr>
          <w:p>
            <w:pPr>
              <w:jc w:val="left"/>
            </w:pPr>
            <w:r>
              <w:rPr>
                <w:sz w:val="17"/>
              </w:rPr>
              <w:t>Random Forest</w:t>
            </w:r>
          </w:p>
        </w:tc>
        <w:tc>
          <w:tcPr>
            <w:tcW w:type="dxa" w:w="1206"/>
          </w:tcPr>
          <w:p>
            <w:pPr>
              <w:jc w:val="center"/>
            </w:pPr>
            <w:r>
              <w:rPr>
                <w:sz w:val="17"/>
              </w:rPr>
              <w:t>0.869</w:t>
            </w:r>
          </w:p>
        </w:tc>
        <w:tc>
          <w:tcPr>
            <w:tcW w:type="dxa" w:w="1206"/>
          </w:tcPr>
          <w:p>
            <w:pPr>
              <w:jc w:val="center"/>
            </w:pPr>
            <w:r>
              <w:rPr>
                <w:sz w:val="17"/>
              </w:rPr>
              <w:t>0.925</w:t>
            </w:r>
          </w:p>
        </w:tc>
        <w:tc>
          <w:tcPr>
            <w:tcW w:type="dxa" w:w="1206"/>
          </w:tcPr>
          <w:p>
            <w:pPr>
              <w:jc w:val="center"/>
            </w:pPr>
            <w:r>
              <w:rPr>
                <w:sz w:val="17"/>
              </w:rPr>
              <w:t>0.802</w:t>
            </w:r>
          </w:p>
        </w:tc>
        <w:tc>
          <w:tcPr>
            <w:tcW w:type="dxa" w:w="1206"/>
          </w:tcPr>
          <w:p>
            <w:pPr>
              <w:jc w:val="center"/>
            </w:pPr>
            <w:r>
              <w:rPr>
                <w:sz w:val="17"/>
              </w:rPr>
              <w:t>0.859</w:t>
            </w:r>
          </w:p>
        </w:tc>
        <w:tc>
          <w:tcPr>
            <w:tcW w:type="dxa" w:w="1206"/>
          </w:tcPr>
          <w:p>
            <w:pPr>
              <w:jc w:val="center"/>
            </w:pPr>
            <w:r>
              <w:rPr>
                <w:sz w:val="17"/>
              </w:rPr>
              <w:t>0.824</w:t>
            </w:r>
          </w:p>
        </w:tc>
        <w:tc>
          <w:tcPr>
            <w:tcW w:type="dxa" w:w="1206"/>
          </w:tcPr>
          <w:p>
            <w:pPr>
              <w:jc w:val="center"/>
            </w:pPr>
            <w:r>
              <w:rPr>
                <w:sz w:val="17"/>
              </w:rPr>
              <w:t>0.744</w:t>
            </w:r>
          </w:p>
        </w:tc>
        <w:tc>
          <w:tcPr>
            <w:tcW w:type="dxa" w:w="1206"/>
          </w:tcPr>
          <w:p>
            <w:pPr>
              <w:jc w:val="center"/>
            </w:pPr>
            <w:r>
              <w:rPr>
                <w:sz w:val="17"/>
              </w:rPr>
              <w:t>0.925</w:t>
            </w:r>
          </w:p>
        </w:tc>
      </w:tr>
      <w:tr>
        <w:tc>
          <w:tcPr>
            <w:tcW w:type="dxa" w:w="1206"/>
            <w:shd w:val="clear" w:color="auto" w:fill="F4F4F4"/>
          </w:tcPr>
          <w:p>
            <w:pPr>
              <w:jc w:val="left"/>
            </w:pPr>
            <w:r>
              <w:rPr>
                <w:sz w:val="17"/>
              </w:rPr>
              <w:t>XGBoost</w:t>
            </w:r>
          </w:p>
        </w:tc>
        <w:tc>
          <w:tcPr>
            <w:tcW w:type="dxa" w:w="1206"/>
            <w:shd w:val="clear" w:color="auto" w:fill="F4F4F4"/>
          </w:tcPr>
          <w:p>
            <w:pPr>
              <w:jc w:val="center"/>
            </w:pPr>
            <w:r>
              <w:rPr>
                <w:sz w:val="17"/>
              </w:rPr>
              <w:t>0.869</w:t>
            </w:r>
          </w:p>
        </w:tc>
        <w:tc>
          <w:tcPr>
            <w:tcW w:type="dxa" w:w="1206"/>
            <w:shd w:val="clear" w:color="auto" w:fill="F4F4F4"/>
          </w:tcPr>
          <w:p>
            <w:pPr>
              <w:jc w:val="center"/>
            </w:pPr>
            <w:r>
              <w:rPr>
                <w:sz w:val="17"/>
              </w:rPr>
              <w:t>0.917</w:t>
            </w:r>
          </w:p>
        </w:tc>
        <w:tc>
          <w:tcPr>
            <w:tcW w:type="dxa" w:w="1206"/>
            <w:shd w:val="clear" w:color="auto" w:fill="F4F4F4"/>
          </w:tcPr>
          <w:p>
            <w:pPr>
              <w:jc w:val="center"/>
            </w:pPr>
            <w:r>
              <w:rPr>
                <w:sz w:val="17"/>
              </w:rPr>
              <w:t>0.811</w:t>
            </w:r>
          </w:p>
        </w:tc>
        <w:tc>
          <w:tcPr>
            <w:tcW w:type="dxa" w:w="1206"/>
            <w:shd w:val="clear" w:color="auto" w:fill="F4F4F4"/>
          </w:tcPr>
          <w:p>
            <w:pPr>
              <w:jc w:val="center"/>
            </w:pPr>
            <w:r>
              <w:rPr>
                <w:sz w:val="17"/>
              </w:rPr>
              <w:t>0.861</w:t>
            </w:r>
          </w:p>
        </w:tc>
        <w:tc>
          <w:tcPr>
            <w:tcW w:type="dxa" w:w="1206"/>
            <w:shd w:val="clear" w:color="auto" w:fill="F4F4F4"/>
          </w:tcPr>
          <w:p>
            <w:pPr>
              <w:jc w:val="center"/>
            </w:pPr>
            <w:r>
              <w:rPr>
                <w:sz w:val="17"/>
              </w:rPr>
              <w:t>0.830</w:t>
            </w:r>
          </w:p>
        </w:tc>
        <w:tc>
          <w:tcPr>
            <w:tcW w:type="dxa" w:w="1206"/>
            <w:shd w:val="clear" w:color="auto" w:fill="F4F4F4"/>
          </w:tcPr>
          <w:p>
            <w:pPr>
              <w:jc w:val="center"/>
            </w:pPr>
            <w:r>
              <w:rPr>
                <w:sz w:val="17"/>
              </w:rPr>
              <w:t>0.743</w:t>
            </w:r>
          </w:p>
        </w:tc>
        <w:tc>
          <w:tcPr>
            <w:tcW w:type="dxa" w:w="1206"/>
            <w:shd w:val="clear" w:color="auto" w:fill="F4F4F4"/>
          </w:tcPr>
          <w:p>
            <w:pPr>
              <w:jc w:val="center"/>
            </w:pPr>
            <w:r>
              <w:rPr>
                <w:sz w:val="17"/>
              </w:rPr>
              <w:t>0.926</w:t>
            </w:r>
          </w:p>
        </w:tc>
      </w:tr>
      <w:tr>
        <w:tc>
          <w:tcPr>
            <w:tcW w:type="dxa" w:w="1206"/>
          </w:tcPr>
          <w:p>
            <w:pPr>
              <w:jc w:val="left"/>
            </w:pPr>
            <w:r>
              <w:rPr>
                <w:sz w:val="17"/>
              </w:rPr>
              <w:t>SVM (RBF)</w:t>
            </w:r>
          </w:p>
        </w:tc>
        <w:tc>
          <w:tcPr>
            <w:tcW w:type="dxa" w:w="1206"/>
          </w:tcPr>
          <w:p>
            <w:pPr>
              <w:jc w:val="center"/>
            </w:pPr>
            <w:r>
              <w:rPr>
                <w:sz w:val="17"/>
              </w:rPr>
              <w:t>0.833</w:t>
            </w:r>
          </w:p>
        </w:tc>
        <w:tc>
          <w:tcPr>
            <w:tcW w:type="dxa" w:w="1206"/>
          </w:tcPr>
          <w:p>
            <w:pPr>
              <w:jc w:val="center"/>
            </w:pPr>
            <w:r>
              <w:rPr>
                <w:sz w:val="17"/>
              </w:rPr>
              <w:t>0.983</w:t>
            </w:r>
          </w:p>
        </w:tc>
        <w:tc>
          <w:tcPr>
            <w:tcW w:type="dxa" w:w="1206"/>
          </w:tcPr>
          <w:p>
            <w:pPr>
              <w:jc w:val="center"/>
            </w:pPr>
            <w:r>
              <w:rPr>
                <w:sz w:val="17"/>
              </w:rPr>
              <w:t>0.678</w:t>
            </w:r>
          </w:p>
        </w:tc>
        <w:tc>
          <w:tcPr>
            <w:tcW w:type="dxa" w:w="1206"/>
          </w:tcPr>
          <w:p>
            <w:pPr>
              <w:jc w:val="center"/>
            </w:pPr>
            <w:r>
              <w:rPr>
                <w:sz w:val="17"/>
              </w:rPr>
              <w:t>0.802</w:t>
            </w:r>
          </w:p>
        </w:tc>
        <w:tc>
          <w:tcPr>
            <w:tcW w:type="dxa" w:w="1206"/>
          </w:tcPr>
          <w:p>
            <w:pPr>
              <w:jc w:val="center"/>
            </w:pPr>
            <w:r>
              <w:rPr>
                <w:sz w:val="17"/>
              </w:rPr>
              <w:t>0.723</w:t>
            </w:r>
          </w:p>
        </w:tc>
        <w:tc>
          <w:tcPr>
            <w:tcW w:type="dxa" w:w="1206"/>
          </w:tcPr>
          <w:p>
            <w:pPr>
              <w:jc w:val="center"/>
            </w:pPr>
            <w:r>
              <w:rPr>
                <w:sz w:val="17"/>
              </w:rPr>
              <w:t>0.701</w:t>
            </w:r>
          </w:p>
        </w:tc>
        <w:tc>
          <w:tcPr>
            <w:tcW w:type="dxa" w:w="1206"/>
          </w:tcPr>
          <w:p>
            <w:pPr>
              <w:jc w:val="center"/>
            </w:pPr>
            <w:r>
              <w:rPr>
                <w:sz w:val="17"/>
              </w:rPr>
              <w:t>0.888</w:t>
            </w:r>
          </w:p>
        </w:tc>
      </w:tr>
      <w:tr>
        <w:tc>
          <w:tcPr>
            <w:tcW w:type="dxa" w:w="1206"/>
            <w:shd w:val="clear" w:color="auto" w:fill="F4F4F4"/>
          </w:tcPr>
          <w:p>
            <w:pPr>
              <w:jc w:val="left"/>
            </w:pPr>
            <w:r>
              <w:rPr>
                <w:sz w:val="17"/>
              </w:rPr>
              <w:t>Decision Tree</w:t>
            </w:r>
          </w:p>
        </w:tc>
        <w:tc>
          <w:tcPr>
            <w:tcW w:type="dxa" w:w="1206"/>
            <w:shd w:val="clear" w:color="auto" w:fill="F4F4F4"/>
          </w:tcPr>
          <w:p>
            <w:pPr>
              <w:jc w:val="center"/>
            </w:pPr>
            <w:r>
              <w:rPr>
                <w:sz w:val="17"/>
              </w:rPr>
              <w:t>0.821</w:t>
            </w:r>
          </w:p>
        </w:tc>
        <w:tc>
          <w:tcPr>
            <w:tcW w:type="dxa" w:w="1206"/>
            <w:shd w:val="clear" w:color="auto" w:fill="F4F4F4"/>
          </w:tcPr>
          <w:p>
            <w:pPr>
              <w:jc w:val="center"/>
            </w:pPr>
            <w:r>
              <w:rPr>
                <w:sz w:val="17"/>
              </w:rPr>
              <w:t>0.992</w:t>
            </w:r>
          </w:p>
        </w:tc>
        <w:tc>
          <w:tcPr>
            <w:tcW w:type="dxa" w:w="1206"/>
            <w:shd w:val="clear" w:color="auto" w:fill="F4F4F4"/>
          </w:tcPr>
          <w:p>
            <w:pPr>
              <w:jc w:val="center"/>
            </w:pPr>
            <w:r>
              <w:rPr>
                <w:sz w:val="17"/>
              </w:rPr>
              <w:t>0.647</w:t>
            </w:r>
          </w:p>
        </w:tc>
        <w:tc>
          <w:tcPr>
            <w:tcW w:type="dxa" w:w="1206"/>
            <w:shd w:val="clear" w:color="auto" w:fill="F4F4F4"/>
          </w:tcPr>
          <w:p>
            <w:pPr>
              <w:jc w:val="center"/>
            </w:pPr>
            <w:r>
              <w:rPr>
                <w:sz w:val="17"/>
              </w:rPr>
              <w:t>0.783</w:t>
            </w:r>
          </w:p>
        </w:tc>
        <w:tc>
          <w:tcPr>
            <w:tcW w:type="dxa" w:w="1206"/>
            <w:shd w:val="clear" w:color="auto" w:fill="F4F4F4"/>
          </w:tcPr>
          <w:p>
            <w:pPr>
              <w:jc w:val="center"/>
            </w:pPr>
            <w:r>
              <w:rPr>
                <w:sz w:val="17"/>
              </w:rPr>
              <w:t>0.695</w:t>
            </w:r>
          </w:p>
        </w:tc>
        <w:tc>
          <w:tcPr>
            <w:tcW w:type="dxa" w:w="1206"/>
            <w:shd w:val="clear" w:color="auto" w:fill="F4F4F4"/>
          </w:tcPr>
          <w:p>
            <w:pPr>
              <w:jc w:val="center"/>
            </w:pPr>
            <w:r>
              <w:rPr>
                <w:sz w:val="17"/>
              </w:rPr>
              <w:t>0.685</w:t>
            </w:r>
          </w:p>
        </w:tc>
        <w:tc>
          <w:tcPr>
            <w:tcW w:type="dxa" w:w="1206"/>
            <w:shd w:val="clear" w:color="auto" w:fill="F4F4F4"/>
          </w:tcPr>
          <w:p>
            <w:pPr>
              <w:jc w:val="center"/>
            </w:pPr>
            <w:r>
              <w:rPr>
                <w:sz w:val="17"/>
              </w:rPr>
              <w:t>0.874</w:t>
            </w:r>
          </w:p>
        </w:tc>
      </w:tr>
      <w:tr>
        <w:tc>
          <w:tcPr>
            <w:tcW w:type="dxa" w:w="1206"/>
          </w:tcPr>
          <w:p>
            <w:pPr>
              <w:jc w:val="left"/>
            </w:pPr>
            <w:r>
              <w:rPr>
                <w:sz w:val="17"/>
              </w:rPr>
              <w:t>KNN</w:t>
            </w:r>
          </w:p>
        </w:tc>
        <w:tc>
          <w:tcPr>
            <w:tcW w:type="dxa" w:w="1206"/>
          </w:tcPr>
          <w:p>
            <w:pPr>
              <w:jc w:val="center"/>
            </w:pPr>
            <w:r>
              <w:rPr>
                <w:sz w:val="17"/>
              </w:rPr>
              <w:t>0.838</w:t>
            </w:r>
          </w:p>
        </w:tc>
        <w:tc>
          <w:tcPr>
            <w:tcW w:type="dxa" w:w="1206"/>
          </w:tcPr>
          <w:p>
            <w:pPr>
              <w:jc w:val="center"/>
            </w:pPr>
            <w:r>
              <w:rPr>
                <w:sz w:val="17"/>
              </w:rPr>
              <w:t>0.873</w:t>
            </w:r>
          </w:p>
        </w:tc>
        <w:tc>
          <w:tcPr>
            <w:tcW w:type="dxa" w:w="1206"/>
          </w:tcPr>
          <w:p>
            <w:pPr>
              <w:jc w:val="center"/>
            </w:pPr>
            <w:r>
              <w:rPr>
                <w:sz w:val="17"/>
              </w:rPr>
              <w:t>0.791</w:t>
            </w:r>
          </w:p>
        </w:tc>
        <w:tc>
          <w:tcPr>
            <w:tcW w:type="dxa" w:w="1206"/>
          </w:tcPr>
          <w:p>
            <w:pPr>
              <w:jc w:val="center"/>
            </w:pPr>
            <w:r>
              <w:rPr>
                <w:sz w:val="17"/>
              </w:rPr>
              <w:t>0.830</w:t>
            </w:r>
          </w:p>
        </w:tc>
        <w:tc>
          <w:tcPr>
            <w:tcW w:type="dxa" w:w="1206"/>
          </w:tcPr>
          <w:p>
            <w:pPr>
              <w:jc w:val="center"/>
            </w:pPr>
            <w:r>
              <w:rPr>
                <w:sz w:val="17"/>
              </w:rPr>
              <w:t>0.806</w:t>
            </w:r>
          </w:p>
        </w:tc>
        <w:tc>
          <w:tcPr>
            <w:tcW w:type="dxa" w:w="1206"/>
          </w:tcPr>
          <w:p>
            <w:pPr>
              <w:jc w:val="center"/>
            </w:pPr>
            <w:r>
              <w:rPr>
                <w:sz w:val="17"/>
              </w:rPr>
              <w:t>0.679</w:t>
            </w:r>
          </w:p>
        </w:tc>
        <w:tc>
          <w:tcPr>
            <w:tcW w:type="dxa" w:w="1206"/>
          </w:tcPr>
          <w:p>
            <w:pPr>
              <w:jc w:val="center"/>
            </w:pPr>
            <w:r>
              <w:rPr>
                <w:sz w:val="17"/>
              </w:rPr>
              <w:t>0.898</w:t>
            </w:r>
          </w:p>
        </w:tc>
      </w:tr>
      <w:tr>
        <w:tc>
          <w:tcPr>
            <w:tcW w:type="dxa" w:w="1206"/>
            <w:shd w:val="clear" w:color="auto" w:fill="F4F4F4"/>
          </w:tcPr>
          <w:p>
            <w:pPr>
              <w:jc w:val="left"/>
            </w:pPr>
            <w:r>
              <w:rPr>
                <w:sz w:val="17"/>
              </w:rPr>
              <w:t>Logistic Regression</w:t>
            </w:r>
          </w:p>
        </w:tc>
        <w:tc>
          <w:tcPr>
            <w:tcW w:type="dxa" w:w="1206"/>
            <w:shd w:val="clear" w:color="auto" w:fill="F4F4F4"/>
          </w:tcPr>
          <w:p>
            <w:pPr>
              <w:jc w:val="center"/>
            </w:pPr>
            <w:r>
              <w:rPr>
                <w:sz w:val="17"/>
              </w:rPr>
              <w:t>0.796</w:t>
            </w:r>
          </w:p>
        </w:tc>
        <w:tc>
          <w:tcPr>
            <w:tcW w:type="dxa" w:w="1206"/>
            <w:shd w:val="clear" w:color="auto" w:fill="F4F4F4"/>
          </w:tcPr>
          <w:p>
            <w:pPr>
              <w:jc w:val="center"/>
            </w:pPr>
            <w:r>
              <w:rPr>
                <w:sz w:val="17"/>
              </w:rPr>
              <w:t>0.923</w:t>
            </w:r>
          </w:p>
        </w:tc>
        <w:tc>
          <w:tcPr>
            <w:tcW w:type="dxa" w:w="1206"/>
            <w:shd w:val="clear" w:color="auto" w:fill="F4F4F4"/>
          </w:tcPr>
          <w:p>
            <w:pPr>
              <w:jc w:val="center"/>
            </w:pPr>
            <w:r>
              <w:rPr>
                <w:sz w:val="17"/>
              </w:rPr>
              <w:t>0.647</w:t>
            </w:r>
          </w:p>
        </w:tc>
        <w:tc>
          <w:tcPr>
            <w:tcW w:type="dxa" w:w="1206"/>
            <w:shd w:val="clear" w:color="auto" w:fill="F4F4F4"/>
          </w:tcPr>
          <w:p>
            <w:pPr>
              <w:jc w:val="center"/>
            </w:pPr>
            <w:r>
              <w:rPr>
                <w:sz w:val="17"/>
              </w:rPr>
              <w:t>0.761</w:t>
            </w:r>
          </w:p>
        </w:tc>
        <w:tc>
          <w:tcPr>
            <w:tcW w:type="dxa" w:w="1206"/>
            <w:shd w:val="clear" w:color="auto" w:fill="F4F4F4"/>
          </w:tcPr>
          <w:p>
            <w:pPr>
              <w:jc w:val="center"/>
            </w:pPr>
            <w:r>
              <w:rPr>
                <w:sz w:val="17"/>
              </w:rPr>
              <w:t>0.688</w:t>
            </w:r>
          </w:p>
        </w:tc>
        <w:tc>
          <w:tcPr>
            <w:tcW w:type="dxa" w:w="1206"/>
            <w:shd w:val="clear" w:color="auto" w:fill="F4F4F4"/>
          </w:tcPr>
          <w:p>
            <w:pPr>
              <w:jc w:val="center"/>
            </w:pPr>
            <w:r>
              <w:rPr>
                <w:sz w:val="17"/>
              </w:rPr>
              <w:t>0.621</w:t>
            </w:r>
          </w:p>
        </w:tc>
        <w:tc>
          <w:tcPr>
            <w:tcW w:type="dxa" w:w="1206"/>
            <w:shd w:val="clear" w:color="auto" w:fill="F4F4F4"/>
          </w:tcPr>
          <w:p>
            <w:pPr>
              <w:jc w:val="center"/>
            </w:pPr>
            <w:r>
              <w:rPr>
                <w:sz w:val="17"/>
              </w:rPr>
              <w:t>0.874</w:t>
            </w:r>
          </w:p>
        </w:tc>
      </w:tr>
    </w:tbl>
    <w:p>
      <w:pPr>
        <w:jc w:val="center"/>
      </w:pPr>
      <w:r>
        <w:rPr>
          <w:i/>
          <w:color w:val="555555"/>
          <w:sz w:val="18"/>
        </w:rPr>
        <w:t>Table 1. Test-set performance, sorted by MCC.</w:t>
      </w:r>
    </w:p>
    <w:p>
      <w:pPr>
        <w:spacing w:after="140"/>
        <w:jc w:val="both"/>
      </w:pPr>
      <w:r>
        <w:rPr>
          <w:rFonts w:ascii="Times New Roman" w:hAnsi="Times New Roman"/>
          <w:b w:val="0"/>
          <w:i w:val="0"/>
          <w:color w:val="1A1A1A"/>
          <w:sz w:val="22"/>
        </w:rPr>
        <w:t>The ranking is consistent across metrics: the tree ensembles (Random Forest, XGBoost) lead, and the linear model trails. The separability curves in Figure 7 summarise the best model's ranking quality.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2334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p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33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8"/>
        </w:rPr>
        <w:t>Figure 7. ROC (left) and Precision-Recall (right) curves for the best model. Both areas are high on the balanced test set, which is precisely why the prevalence correction in Section 2.3 matters.</w:t>
      </w:r>
    </w:p>
    <w:p>
      <w:pPr>
        <w:spacing w:before="160" w:after="40"/>
      </w:pPr>
      <w:r>
        <w:rPr>
          <w:rFonts w:ascii="Times New Roman" w:hAnsi="Times New Roman"/>
          <w:b/>
          <w:color w:val="1A1A1A"/>
          <w:sz w:val="24"/>
        </w:rPr>
        <w:t>Modifications we introduced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color w:val="1A1A1A"/>
          <w:sz w:val="22"/>
        </w:rPr>
        <w:t>Added 5-fold stratified cross-validation, MCC, F-beta, ROC-AUC and PR-AUC (the original reports accuracy only).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color w:val="1A1A1A"/>
          <w:sz w:val="22"/>
        </w:rPr>
        <w:t>Derived the Bayes-optimal accuracy ceiling from feature-space ambiguity.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color w:val="1A1A1A"/>
          <w:sz w:val="22"/>
        </w:rPr>
        <w:t>Added a prevalence-correction analysis exposing deployment precision.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color w:val="1A1A1A"/>
          <w:sz w:val="22"/>
        </w:rPr>
        <w:t>Trained a source-independent (lexical-only) model: accuracy falls to 71.5% and MCC to 0.433, quantifying how much performance leans on the non-reproducible WHOIS/Alexa features.</w:t>
      </w:r>
    </w:p>
    <w:p>
      <w:pPr>
        <w:spacing w:before="240" w:after="80"/>
        <w:pBdr>
          <w:bottom w:val="single" w:sz="6" w:space="2" w:color="999999"/>
        </w:pBdr>
      </w:pPr>
      <w:r>
        <w:rPr>
          <w:rFonts w:ascii="Times New Roman" w:hAnsi="Times New Roman"/>
          <w:b/>
          <w:color w:val="1A1A1A"/>
          <w:sz w:val="30"/>
        </w:rPr>
        <w:t>6. Error Analysis</w:t>
      </w:r>
    </w:p>
    <w:p>
      <w:pPr>
        <w:spacing w:after="140"/>
        <w:jc w:val="both"/>
      </w:pPr>
      <w:r>
        <w:rPr>
          <w:rFonts w:ascii="Times New Roman" w:hAnsi="Times New Roman"/>
          <w:b w:val="0"/>
          <w:i w:val="0"/>
          <w:color w:val="1A1A1A"/>
          <w:sz w:val="22"/>
        </w:rPr>
        <w:t>At the default threshold the best model detects 80.2% of phishing (false-negative rate 19.8%) while wrongly flagging 6.5% of legitimate sites (Figure 8).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0845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084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8"/>
        </w:rPr>
        <w:t>Figure 8. Confusion matrix for the best model (Random Forest). The off-diagonal cells are the errors analysed below: false negatives (missed phishing) and false positives (blocked legitimate sites).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color w:val="1A1A1A"/>
          <w:sz w:val="22"/>
        </w:rPr>
        <w:t>False negatives</w:t>
      </w:r>
      <w:r>
        <w:rPr>
          <w:rFonts w:ascii="Times New Roman" w:hAnsi="Times New Roman"/>
          <w:b w:val="0"/>
          <w:i w:val="0"/>
          <w:color w:val="1A1A1A"/>
          <w:sz w:val="22"/>
        </w:rPr>
        <w:t xml:space="preserve"> are lexically clean phishing URLs: short, no IP, no '@', no shortener. This matches modern phishing hosted on compromised legitimate domains or cloud platforms, so the model's blind spot aligns with the most dangerous real-world attacks. Each false negative delivers a user to an attacker.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color w:val="1A1A1A"/>
          <w:sz w:val="22"/>
        </w:rPr>
        <w:t>False positives</w:t>
      </w:r>
      <w:r>
        <w:rPr>
          <w:rFonts w:ascii="Times New Roman" w:hAnsi="Times New Roman"/>
          <w:b w:val="0"/>
          <w:i w:val="0"/>
          <w:color w:val="1A1A1A"/>
          <w:sz w:val="22"/>
        </w:rPr>
        <w:t xml:space="preserve"> are legitimate sites that trip a lexical flag (long or hyphenated URLs). Each erodes trust and, at scale, pushes users to disable the detector.</w:t>
      </w:r>
    </w:p>
    <w:p>
      <w:pPr>
        <w:spacing w:after="140"/>
        <w:jc w:val="both"/>
      </w:pPr>
      <w:r>
        <w:rPr>
          <w:rFonts w:ascii="Times New Roman" w:hAnsi="Times New Roman"/>
          <w:b/>
          <w:i w:val="0"/>
          <w:color w:val="1A1A1A"/>
          <w:sz w:val="22"/>
        </w:rPr>
        <w:t>False-positive / false-negative trade-off.</w:t>
      </w:r>
      <w:r>
        <w:rPr>
          <w:rFonts w:ascii="Times New Roman" w:hAnsi="Times New Roman"/>
          <w:b w:val="0"/>
          <w:i w:val="0"/>
          <w:color w:val="1A1A1A"/>
          <w:sz w:val="22"/>
        </w:rPr>
        <w:t xml:space="preserve"> Because a miss is costlier than a false alarm, the right operating point favours recall, hence our emphasis on F2 and MCC. A deployment would lower the decision threshold and pair the model with allow-lists and a soft 'warn' rather than a hard 'block' to keep precision tolerable. The source leaves the threshold at 0.5 and never engages this trade-off.</w:t>
      </w:r>
    </w:p>
    <w:p>
      <w:pPr>
        <w:spacing w:before="240" w:after="80"/>
        <w:pBdr>
          <w:bottom w:val="single" w:sz="6" w:space="2" w:color="999999"/>
        </w:pBdr>
      </w:pPr>
      <w:r>
        <w:rPr>
          <w:rFonts w:ascii="Times New Roman" w:hAnsi="Times New Roman"/>
          <w:b/>
          <w:color w:val="1A1A1A"/>
          <w:sz w:val="30"/>
        </w:rPr>
        <w:t>7. Conclusions</w:t>
      </w:r>
    </w:p>
    <w:p>
      <w:pPr>
        <w:spacing w:before="160" w:after="40"/>
      </w:pPr>
      <w:r>
        <w:rPr>
          <w:rFonts w:ascii="Times New Roman" w:hAnsi="Times New Roman"/>
          <w:b/>
          <w:color w:val="1A1A1A"/>
          <w:sz w:val="24"/>
        </w:rPr>
        <w:t>Key findings and lessons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color w:val="1A1A1A"/>
          <w:sz w:val="22"/>
        </w:rPr>
        <w:t>The ~86% accuracy is reproducible but is an information ceiling of the binarised features, not a measure of model skill.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color w:val="1A1A1A"/>
          <w:sz w:val="22"/>
        </w:rPr>
        <w:t>On imbalanced security problems accuracy is misleading; MCC, F-beta and prevalence-corrected precision are essential, and tell a soberer story here.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color w:val="1A1A1A"/>
          <w:sz w:val="22"/>
        </w:rPr>
        <w:t>Always audit whether a 'predictive' feature is really measuring the label-generation process; URL_Length here measures data provenance.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color w:val="1A1A1A"/>
          <w:sz w:val="22"/>
        </w:rPr>
        <w:t>A security model that cannot be re-extracted from raw inputs cannot be maintained against a moving threat.</w:t>
      </w:r>
    </w:p>
    <w:p>
      <w:pPr>
        <w:spacing w:before="160" w:after="40"/>
      </w:pPr>
      <w:r>
        <w:rPr>
          <w:rFonts w:ascii="Times New Roman" w:hAnsi="Times New Roman"/>
          <w:b/>
          <w:color w:val="1A1A1A"/>
          <w:sz w:val="24"/>
        </w:rPr>
        <w:t>Strengths and weaknesses of the source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color w:val="1A1A1A"/>
          <w:sz w:val="22"/>
        </w:rPr>
        <w:t>Strengths:</w:t>
      </w:r>
      <w:r>
        <w:rPr>
          <w:rFonts w:ascii="Times New Roman" w:hAnsi="Times New Roman"/>
          <w:b w:val="0"/>
          <w:i w:val="0"/>
          <w:color w:val="1A1A1A"/>
          <w:sz w:val="22"/>
        </w:rPr>
        <w:t xml:space="preserve"> clear scope, runnable modelling code, a sensible feature family, an honest multi-model comparison, and a correct 'XGBoost is best' conclusion.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color w:val="1A1A1A"/>
          <w:sz w:val="22"/>
        </w:rPr>
        <w:t>Weaknesses:</w:t>
      </w:r>
      <w:r>
        <w:rPr>
          <w:rFonts w:ascii="Times New Roman" w:hAnsi="Times New Roman"/>
          <w:b w:val="0"/>
          <w:i w:val="0"/>
          <w:color w:val="1A1A1A"/>
          <w:sz w:val="22"/>
        </w:rPr>
        <w:t xml:space="preserve"> a leaky top feature, non-reproducible WHOIS/Alexa extraction, an unrealistic balanced dataset, accuracy-only reporting, no FP/FN or threshold discussion, and no temporal validation.</w:t>
      </w:r>
    </w:p>
    <w:p>
      <w:pPr>
        <w:spacing w:before="160" w:after="40"/>
      </w:pPr>
      <w:r>
        <w:rPr>
          <w:rFonts w:ascii="Times New Roman" w:hAnsi="Times New Roman"/>
          <w:b/>
          <w:color w:val="1A1A1A"/>
          <w:sz w:val="24"/>
        </w:rPr>
        <w:t>Suggestions for future improvement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color w:val="1A1A1A"/>
          <w:sz w:val="22"/>
        </w:rPr>
        <w:t>Evaluate at realistic prevalence and lead with PR-AUC and MCC.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color w:val="1A1A1A"/>
          <w:sz w:val="22"/>
        </w:rPr>
        <w:t>Replace Alexa/WHOIS features with stable, reproducible lexical, TLS and passive-DNS features; keep continuous features continuous.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color w:val="1A1A1A"/>
          <w:sz w:val="22"/>
        </w:rPr>
        <w:t>Use a time-based split to measure and resist concept drift.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color w:val="1A1A1A"/>
          <w:sz w:val="22"/>
        </w:rPr>
        <w:t>Adopt a richer public corpus with continuous URL features (e.g. the Vrbancic dataset_full.csv, ~88k URLs and 111 numeric features).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color w:val="1A1A1A"/>
          <w:sz w:val="22"/>
        </w:rPr>
        <w:t>Tune the decision threshold to the false-negative-heavy cost model of phishing.</w:t>
      </w:r>
    </w:p>
    <w:p>
      <w:pPr>
        <w:spacing w:before="240" w:after="80"/>
        <w:pBdr>
          <w:bottom w:val="single" w:sz="6" w:space="2" w:color="999999"/>
        </w:pBdr>
      </w:pPr>
      <w:r>
        <w:rPr>
          <w:rFonts w:ascii="Times New Roman" w:hAnsi="Times New Roman"/>
          <w:b/>
          <w:color w:val="1A1A1A"/>
          <w:sz w:val="30"/>
        </w:rPr>
        <w:t>8. Summing It Up</w:t>
      </w:r>
    </w:p>
    <w:p>
      <w:pPr>
        <w:spacing w:after="140"/>
        <w:jc w:val="both"/>
      </w:pPr>
      <w:r>
        <w:rPr>
          <w:rFonts w:ascii="Times New Roman" w:hAnsi="Times New Roman"/>
          <w:b/>
          <w:i w:val="0"/>
          <w:color w:val="1A1A1A"/>
          <w:sz w:val="22"/>
        </w:rPr>
        <w:t>Problem:</w:t>
      </w:r>
      <w:r>
        <w:rPr>
          <w:rFonts w:ascii="Times New Roman" w:hAnsi="Times New Roman"/>
          <w:b w:val="0"/>
          <w:i w:val="0"/>
          <w:color w:val="1A1A1A"/>
          <w:sz w:val="22"/>
        </w:rPr>
        <w:t xml:space="preserve"> automatically classify URLs as phishing or legitimate. </w:t>
      </w:r>
      <w:r>
        <w:rPr>
          <w:rFonts w:ascii="Times New Roman" w:hAnsi="Times New Roman"/>
          <w:b/>
          <w:i w:val="0"/>
          <w:color w:val="1A1A1A"/>
          <w:sz w:val="22"/>
        </w:rPr>
        <w:t>Source:</w:t>
      </w:r>
      <w:r>
        <w:rPr>
          <w:rFonts w:ascii="Times New Roman" w:hAnsi="Times New Roman"/>
          <w:b w:val="0"/>
          <w:i w:val="0"/>
          <w:color w:val="1A1A1A"/>
          <w:sz w:val="22"/>
        </w:rPr>
        <w:t xml:space="preserve"> the shreyagopal 'Phishing Website Detection by Machine Learning Techniques' tutorial. </w:t>
      </w:r>
      <w:r>
        <w:rPr>
          <w:rFonts w:ascii="Times New Roman" w:hAnsi="Times New Roman"/>
          <w:b/>
          <w:i w:val="0"/>
          <w:color w:val="1A1A1A"/>
          <w:sz w:val="22"/>
        </w:rPr>
        <w:t>Dataset:</w:t>
      </w:r>
      <w:r>
        <w:rPr>
          <w:rFonts w:ascii="Times New Roman" w:hAnsi="Times New Roman"/>
          <w:b w:val="0"/>
          <w:i w:val="0"/>
          <w:color w:val="1A1A1A"/>
          <w:sz w:val="22"/>
        </w:rPr>
        <w:t xml:space="preserve"> 10,000 URLs (50/50) with 17 extracted features. </w:t>
      </w:r>
      <w:r>
        <w:rPr>
          <w:rFonts w:ascii="Times New Roman" w:hAnsi="Times New Roman"/>
          <w:b/>
          <w:i w:val="0"/>
          <w:color w:val="1A1A1A"/>
          <w:sz w:val="22"/>
        </w:rPr>
        <w:t>Methodology of our study:</w:t>
      </w:r>
      <w:r>
        <w:rPr>
          <w:rFonts w:ascii="Times New Roman" w:hAnsi="Times New Roman"/>
          <w:b w:val="0"/>
          <w:i w:val="0"/>
          <w:color w:val="1A1A1A"/>
          <w:sz w:val="22"/>
        </w:rPr>
        <w:t xml:space="preserve"> faithful reproduction plus a critical battery: feature-space ambiguity analysis, prevalence correction, a leakage probe, a source-independent model, and a full prevalence-robust metric suite under cross-validation.</w:t>
      </w:r>
    </w:p>
    <w:p>
      <w:pPr>
        <w:spacing w:after="140"/>
        <w:jc w:val="both"/>
      </w:pPr>
      <w:r>
        <w:rPr>
          <w:rFonts w:ascii="Times New Roman" w:hAnsi="Times New Roman"/>
          <w:b/>
          <w:i w:val="0"/>
          <w:color w:val="1A1A1A"/>
          <w:sz w:val="22"/>
        </w:rPr>
        <w:t>Main findings:</w:t>
      </w:r>
      <w:r>
        <w:rPr>
          <w:rFonts w:ascii="Times New Roman" w:hAnsi="Times New Roman"/>
          <w:b w:val="0"/>
          <w:i w:val="0"/>
          <w:color w:val="1A1A1A"/>
          <w:sz w:val="22"/>
        </w:rPr>
        <w:t xml:space="preserve"> the author's ~86% accuracy reproduces (86.9% for our best model, Random Forest) but coincides with the 86.8% information ceiling of the binarised features, is inflated by the 50/50 balance (deployment precision ~11.1% at 1% prevalence), and rests partly on a source-revealing feature. The extraction pipeline is not reproducible today. </w:t>
      </w:r>
      <w:r>
        <w:rPr>
          <w:rFonts w:ascii="Times New Roman" w:hAnsi="Times New Roman"/>
          <w:b/>
          <w:i w:val="0"/>
          <w:color w:val="1A1A1A"/>
          <w:sz w:val="22"/>
        </w:rPr>
        <w:t>Were the author's claims supported?</w:t>
      </w:r>
      <w:r>
        <w:rPr>
          <w:rFonts w:ascii="Times New Roman" w:hAnsi="Times New Roman"/>
          <w:b w:val="0"/>
          <w:i w:val="0"/>
          <w:color w:val="1A1A1A"/>
          <w:sz w:val="22"/>
        </w:rPr>
        <w:t xml:space="preserve"> The narrow 'XGBoost performs best' claim, yes; the broad 'effective ~86% phishing detector' claim, no.</w:t>
      </w:r>
    </w:p>
    <w:p>
      <w:pPr>
        <w:spacing w:after="140"/>
        <w:jc w:val="both"/>
      </w:pPr>
      <w:r>
        <w:rPr>
          <w:rFonts w:ascii="Times New Roman" w:hAnsi="Times New Roman"/>
          <w:b/>
          <w:i w:val="0"/>
          <w:color w:val="1A1A1A"/>
          <w:sz w:val="22"/>
        </w:rPr>
        <w:t>Most important insight:</w:t>
      </w:r>
      <w:r>
        <w:rPr>
          <w:rFonts w:ascii="Times New Roman" w:hAnsi="Times New Roman"/>
          <w:b w:val="0"/>
          <w:i w:val="0"/>
          <w:color w:val="1A1A1A"/>
          <w:sz w:val="22"/>
        </w:rPr>
        <w:t xml:space="preserve"> on this problem the bottleneck is the feature representation, not the learning algorithm, and the evaluation metric chosen determines whether that bottleneck is even visible. </w:t>
      </w:r>
      <w:r>
        <w:rPr>
          <w:rFonts w:ascii="Times New Roman" w:hAnsi="Times New Roman"/>
          <w:b/>
          <w:i w:val="0"/>
          <w:color w:val="1A1A1A"/>
          <w:sz w:val="22"/>
        </w:rPr>
        <w:t>Recommendation:</w:t>
      </w:r>
      <w:r>
        <w:rPr>
          <w:rFonts w:ascii="Times New Roman" w:hAnsi="Times New Roman"/>
          <w:b w:val="0"/>
          <w:i w:val="0"/>
          <w:color w:val="1A1A1A"/>
          <w:sz w:val="22"/>
        </w:rPr>
        <w:t xml:space="preserve"> valuable as a teaching pipeline, but we would not recommend deploying it, or citing its accuracy, on similar problems without the corrections above. </w:t>
      </w:r>
      <w:r>
        <w:rPr>
          <w:rFonts w:ascii="Times New Roman" w:hAnsi="Times New Roman"/>
          <w:b/>
          <w:i w:val="0"/>
          <w:color w:val="1A1A1A"/>
          <w:sz w:val="22"/>
        </w:rPr>
        <w:t>Final conclusion:</w:t>
      </w:r>
      <w:r>
        <w:rPr>
          <w:rFonts w:ascii="Times New Roman" w:hAnsi="Times New Roman"/>
          <w:b w:val="0"/>
          <w:i w:val="0"/>
          <w:color w:val="1A1A1A"/>
          <w:sz w:val="22"/>
        </w:rPr>
        <w:t xml:space="preserve"> a methodologically instructive project whose central performance claim is not supported by the evidence once rigorous, realistic evaluation is applied.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