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0F172A"/>
          <w:sz w:val="42"/>
        </w:rPr>
        <w:t>MANUAL OPERATIVO PARA RECEPCIÓN</w:t>
      </w:r>
    </w:p>
    <w:p>
      <w:pPr>
        <w:jc w:val="center"/>
      </w:pPr>
      <w:r>
        <w:rPr>
          <w:color w:val="64748B"/>
          <w:sz w:val="22"/>
        </w:rPr>
        <w:t>Procedimiento de Cobros, Seguridad Anti-Fraude PayGold (Eurocaja Rural) y WhatsApp</w:t>
        <w:br/>
        <w:t>Sercotel Hotel Guadiana • MesaChef Matrix v10.2.1</w:t>
      </w:r>
    </w:p>
    <w:p>
      <w:pPr>
        <w:spacing w:after="80"/>
      </w:pPr>
    </w:p>
    <w:p>
      <w:r>
        <w:rPr>
          <w:b/>
          <w:color w:val="15803D"/>
          <w:sz w:val="26"/>
        </w:rPr>
        <w:t>1. DATOS CLAVE DE CONFIGURACIÓN Y ACCESO</w:t>
      </w:r>
    </w:p>
    <w:tbl>
      <w:tblPr>
        <w:tblW w:type="auto" w:w="0"/>
        <w:jc w:val="center"/>
        <w:tblLayout w:type="fixed"/>
        <w:tblLook w:firstColumn="1" w:firstRow="1" w:lastColumn="0" w:lastRow="0" w:noHBand="0" w:noVBand="1" w:val="04A0"/>
      </w:tblPr>
      <w:tblGrid>
        <w:gridCol w:w="3168"/>
        <w:gridCol w:w="6480"/>
      </w:tblGrid>
      <w:tr>
        <w:tc>
          <w:tcPr>
            <w:tcW w:type="dxa" w:w="4968"/>
            <w:shd w:fill="166534"/>
            <w:tcMar>
              <w:top w:w="130" w:type="dxa"/>
              <w:bottom w:w="130" w:type="dxa"/>
              <w:left w:w="150" w:type="dxa"/>
              <w:right w:w="150" w:type="dxa"/>
            </w:tcMar>
          </w:tcPr>
          <w:p>
            <w:r>
              <w:rPr>
                <w:b/>
                <w:color w:val="FFFFFF"/>
                <w:sz w:val="20"/>
              </w:rPr>
              <w:t>Parámetro</w:t>
            </w:r>
          </w:p>
        </w:tc>
        <w:tc>
          <w:tcPr>
            <w:tcW w:type="dxa" w:w="4968"/>
            <w:shd w:fill="166534"/>
            <w:tcMar>
              <w:top w:w="130" w:type="dxa"/>
              <w:bottom w:w="130" w:type="dxa"/>
              <w:left w:w="150" w:type="dxa"/>
              <w:right w:w="150" w:type="dxa"/>
            </w:tcMar>
          </w:tcPr>
          <w:p>
            <w:r>
              <w:rPr>
                <w:b/>
                <w:color w:val="FFFFFF"/>
                <w:sz w:val="20"/>
              </w:rPr>
              <w:t>Valor Oficial</w:t>
            </w:r>
          </w:p>
        </w:tc>
      </w:tr>
      <w:tr>
        <w:tc>
          <w:tcPr>
            <w:tcW w:type="dxa" w:w="4968"/>
            <w:shd w:fill="F8FAFC"/>
            <w:tcMar>
              <w:top w:w="90" w:type="dxa"/>
              <w:bottom w:w="90" w:type="dxa"/>
              <w:left w:w="130" w:type="dxa"/>
              <w:right w:w="130" w:type="dxa"/>
            </w:tcMar>
          </w:tcPr>
          <w:p>
            <w:r>
              <w:rPr>
                <w:b/>
                <w:color w:val="1E293B"/>
                <w:sz w:val="19"/>
              </w:rPr>
              <w:t>Establecimiento</w:t>
            </w:r>
          </w:p>
        </w:tc>
        <w:tc>
          <w:tcPr>
            <w:tcW w:type="dxa" w:w="4968"/>
            <w:shd w:fill="F8FAFC"/>
            <w:tcMar>
              <w:top w:w="90" w:type="dxa"/>
              <w:bottom w:w="90" w:type="dxa"/>
              <w:left w:w="130" w:type="dxa"/>
              <w:right w:w="130" w:type="dxa"/>
            </w:tcMar>
          </w:tcPr>
          <w:p>
            <w:r>
              <w:rPr>
                <w:sz w:val="19"/>
              </w:rPr>
              <w:t>Sercotel Guadiana</w:t>
            </w:r>
          </w:p>
        </w:tc>
      </w:tr>
      <w:tr>
        <w:tc>
          <w:tcPr>
            <w:tcW w:type="dxa" w:w="4968"/>
            <w:shd w:fill="FFFFFF"/>
            <w:tcMar>
              <w:top w:w="90" w:type="dxa"/>
              <w:bottom w:w="90" w:type="dxa"/>
              <w:left w:w="130" w:type="dxa"/>
              <w:right w:w="130" w:type="dxa"/>
            </w:tcMar>
          </w:tcPr>
          <w:p>
            <w:r>
              <w:rPr>
                <w:b/>
                <w:color w:val="1E293B"/>
                <w:sz w:val="19"/>
              </w:rPr>
              <w:t>Entidad Bancaria</w:t>
            </w:r>
          </w:p>
        </w:tc>
        <w:tc>
          <w:tcPr>
            <w:tcW w:type="dxa" w:w="4968"/>
            <w:shd w:fill="FFFFFF"/>
            <w:tcMar>
              <w:top w:w="90" w:type="dxa"/>
              <w:bottom w:w="90" w:type="dxa"/>
              <w:left w:w="130" w:type="dxa"/>
              <w:right w:w="130" w:type="dxa"/>
            </w:tcMar>
          </w:tcPr>
          <w:p>
            <w:r>
              <w:rPr>
                <w:sz w:val="19"/>
              </w:rPr>
              <w:t>Eurocaja Rural (Plataforma Redsys)</w:t>
            </w:r>
          </w:p>
        </w:tc>
      </w:tr>
      <w:tr>
        <w:tc>
          <w:tcPr>
            <w:tcW w:type="dxa" w:w="4968"/>
            <w:shd w:fill="F8FAFC"/>
            <w:tcMar>
              <w:top w:w="90" w:type="dxa"/>
              <w:bottom w:w="90" w:type="dxa"/>
              <w:left w:w="130" w:type="dxa"/>
              <w:right w:w="130" w:type="dxa"/>
            </w:tcMar>
          </w:tcPr>
          <w:p>
            <w:r>
              <w:rPr>
                <w:b/>
                <w:color w:val="1E293B"/>
                <w:sz w:val="19"/>
              </w:rPr>
              <w:t>Usuario / Terminal TPV</w:t>
            </w:r>
          </w:p>
        </w:tc>
        <w:tc>
          <w:tcPr>
            <w:tcW w:type="dxa" w:w="4968"/>
            <w:shd w:fill="F8FAFC"/>
            <w:tcMar>
              <w:top w:w="90" w:type="dxa"/>
              <w:bottom w:w="90" w:type="dxa"/>
              <w:left w:w="130" w:type="dxa"/>
              <w:right w:w="130" w:type="dxa"/>
            </w:tcMar>
          </w:tcPr>
          <w:p>
            <w:r>
              <w:rPr>
                <w:sz w:val="19"/>
              </w:rPr>
              <w:t>168355840-001 (Obligatorio escribir el terminal -001)</w:t>
            </w:r>
          </w:p>
        </w:tc>
      </w:tr>
      <w:tr>
        <w:tc>
          <w:tcPr>
            <w:tcW w:type="dxa" w:w="4968"/>
            <w:shd w:fill="FFFFFF"/>
            <w:tcMar>
              <w:top w:w="90" w:type="dxa"/>
              <w:bottom w:w="90" w:type="dxa"/>
              <w:left w:w="130" w:type="dxa"/>
              <w:right w:w="130" w:type="dxa"/>
            </w:tcMar>
          </w:tcPr>
          <w:p>
            <w:r>
              <w:rPr>
                <w:b/>
                <w:color w:val="1E293B"/>
                <w:sz w:val="19"/>
              </w:rPr>
              <w:t>Portal de Acceso TPV</w:t>
            </w:r>
          </w:p>
        </w:tc>
        <w:tc>
          <w:tcPr>
            <w:tcW w:type="dxa" w:w="4968"/>
            <w:shd w:fill="FFFFFF"/>
            <w:tcMar>
              <w:top w:w="90" w:type="dxa"/>
              <w:bottom w:w="90" w:type="dxa"/>
              <w:left w:w="130" w:type="dxa"/>
              <w:right w:w="130" w:type="dxa"/>
            </w:tcMar>
          </w:tcPr>
          <w:p>
            <w:r>
              <w:rPr>
                <w:sz w:val="19"/>
              </w:rPr>
              <w:t>https://canales.redsys.es/portal</w:t>
            </w:r>
          </w:p>
        </w:tc>
      </w:tr>
      <w:tr>
        <w:tc>
          <w:tcPr>
            <w:tcW w:type="dxa" w:w="4968"/>
            <w:shd w:fill="F8FAFC"/>
            <w:tcMar>
              <w:top w:w="90" w:type="dxa"/>
              <w:bottom w:w="90" w:type="dxa"/>
              <w:left w:w="130" w:type="dxa"/>
              <w:right w:w="130" w:type="dxa"/>
            </w:tcMar>
          </w:tcPr>
          <w:p>
            <w:r>
              <w:rPr>
                <w:b/>
                <w:color w:val="1E293B"/>
                <w:sz w:val="19"/>
              </w:rPr>
              <w:t>Email Notificaciones</w:t>
            </w:r>
          </w:p>
        </w:tc>
        <w:tc>
          <w:tcPr>
            <w:tcW w:type="dxa" w:w="4968"/>
            <w:shd w:fill="F8FAFC"/>
            <w:tcMar>
              <w:top w:w="90" w:type="dxa"/>
              <w:bottom w:w="90" w:type="dxa"/>
              <w:left w:w="130" w:type="dxa"/>
              <w:right w:w="130" w:type="dxa"/>
            </w:tcMar>
          </w:tcPr>
          <w:p>
            <w:r>
              <w:rPr>
                <w:sz w:val="19"/>
              </w:rPr>
              <w:t>administracion@hotelguadiana.es (Bandeja de Isabel)</w:t>
            </w:r>
          </w:p>
        </w:tc>
      </w:tr>
      <w:tr>
        <w:tc>
          <w:tcPr>
            <w:tcW w:type="dxa" w:w="4968"/>
            <w:shd w:fill="FFFFFF"/>
            <w:tcMar>
              <w:top w:w="90" w:type="dxa"/>
              <w:bottom w:w="90" w:type="dxa"/>
              <w:left w:w="130" w:type="dxa"/>
              <w:right w:w="130" w:type="dxa"/>
            </w:tcMar>
          </w:tcPr>
          <w:p>
            <w:r>
              <w:rPr>
                <w:b/>
                <w:color w:val="1E293B"/>
                <w:sz w:val="19"/>
              </w:rPr>
              <w:t>Circuito de Confirmación</w:t>
            </w:r>
          </w:p>
        </w:tc>
        <w:tc>
          <w:tcPr>
            <w:tcW w:type="dxa" w:w="4968"/>
            <w:shd w:fill="FFFFFF"/>
            <w:tcMar>
              <w:top w:w="90" w:type="dxa"/>
              <w:bottom w:w="90" w:type="dxa"/>
              <w:left w:w="130" w:type="dxa"/>
              <w:right w:w="130" w:type="dxa"/>
            </w:tcMar>
          </w:tcPr>
          <w:p>
            <w:r>
              <w:rPr>
                <w:sz w:val="19"/>
              </w:rPr>
              <w:t>Isabel recibe el justificante de Eurocaja y lo REENVÍA a Recepción para su control y apunte en MesaChef.</w:t>
            </w:r>
          </w:p>
        </w:tc>
      </w:tr>
    </w:tbl>
    <w:p>
      <w:pPr>
        <w:spacing w:after="120"/>
      </w:pPr>
    </w:p>
    <w:p>
      <w:r>
        <w:rPr>
          <w:b/>
          <w:color w:val="B91C1C"/>
          <w:sz w:val="26"/>
        </w:rPr>
        <w:t>2. SEGURIDAD TOTAL: ¿POR QUÉ ES VITAL UTILIZAR EL ENLACE PAYGOLD?</w:t>
      </w:r>
    </w:p>
    <w:p>
      <w:pPr>
        <w:spacing w:after="80"/>
        <w:ind w:left="288"/>
      </w:pPr>
      <w:r>
        <w:rPr>
          <w:b/>
          <w:color w:val="1E293B"/>
          <w:sz w:val="20"/>
        </w:rPr>
        <w:t xml:space="preserve">🛡️ Cero Riesgo de Filtraciones Internas o Externas: </w:t>
      </w:r>
      <w:r>
        <w:rPr>
          <w:color w:val="475569"/>
          <w:sz w:val="19"/>
        </w:rPr>
        <w:t>NUNCA se deben apuntar números de tarjeta de 16 dígitos ni códigos CVV en el recuadro 'Observaciones', ni en papeles ni en notas adhesivas. Si el sistema o un bloc sufrieran una filtración o inspección, almacenar tarjetas en texto plano acarrea multas de hasta el 4% de la facturación bajo el RGPD y sanciones bancarias directas de Visa/Mastercard de hasta 100.000€, además de la retirada del TPV.</w:t>
      </w:r>
    </w:p>
    <w:p>
      <w:pPr>
        <w:spacing w:after="80"/>
        <w:ind w:left="288"/>
      </w:pPr>
      <w:r>
        <w:rPr>
          <w:b/>
          <w:color w:val="1E293B"/>
          <w:sz w:val="20"/>
        </w:rPr>
        <w:t xml:space="preserve">🛡️ Blindaje contra Fraudes y Falsas Reclamaciones (3D Secure / PSD2): </w:t>
      </w:r>
      <w:r>
        <w:rPr>
          <w:color w:val="475569"/>
          <w:sz w:val="19"/>
        </w:rPr>
        <w:t>Al pagar mediante el enlace de PayGold, el cliente debe validar la operación en su propio teléfono móvil (mediante Bizum o la app de su propio banco con huella digital, Face ID o SMS). Esta autenticación bancaria en dos pasos provoca el traspaso legal de responsabilidad (Liability Shift): el cliente NUNCA podrá repudiar el cobro diciendo 'yo no autoricé este cargo', garantizando el 100% del dinero para el hotel.</w:t>
      </w:r>
    </w:p>
    <w:p>
      <w:pPr>
        <w:spacing w:after="80"/>
        <w:ind w:left="288"/>
      </w:pPr>
      <w:r>
        <w:rPr>
          <w:b/>
          <w:color w:val="1E293B"/>
          <w:sz w:val="20"/>
        </w:rPr>
        <w:t xml:space="preserve">🛡️ Tranquilidad para el Personal de Recepción: </w:t>
      </w:r>
      <w:r>
        <w:rPr>
          <w:color w:val="475569"/>
          <w:sz w:val="19"/>
        </w:rPr>
        <w:t>Al no manipular ni custodiar tarjetas completas de clientes, ningún recepcionista ni empleado puede ser objeto de sospecha ante cargos no reconocidos que el cliente sufra en otros comercios. El hotel solo almacena un código de pedido (GE-XXXXXX) y los últimos 4 dígitos como mera referencia visual.</w:t>
      </w:r>
    </w:p>
    <w:p>
      <w:pPr>
        <w:spacing w:after="160"/>
      </w:pPr>
    </w:p>
    <w:p>
      <w:r>
        <w:rPr>
          <w:b/>
          <w:color w:val="15803D"/>
          <w:sz w:val="26"/>
        </w:rPr>
        <w:t>3. PROCEDIMIENTO OPERATIVO PASO A PASO</w:t>
      </w:r>
    </w:p>
    <w:p>
      <w:pPr>
        <w:spacing w:before="240"/>
      </w:pPr>
      <w:r>
        <w:rPr>
          <w:b/>
          <w:color w:val="1E293B"/>
          <w:sz w:val="24"/>
        </w:rPr>
        <w:t>[PASO 1] Apertura y Registro de la Ficha en MesaChef</w:t>
      </w:r>
    </w:p>
    <w:p>
      <w:pPr>
        <w:spacing w:after="40" w:before="20"/>
        <w:ind w:left="288"/>
      </w:pPr>
      <w:r>
        <w:rPr>
          <w:sz w:val="19"/>
        </w:rPr>
        <w:t>1. En MesaChef, entra en Grandes Eventos y localiza la reserva del cliente o pulsa en '+ Añadir Participante'.</w:t>
      </w:r>
    </w:p>
    <w:p>
      <w:pPr>
        <w:spacing w:after="40" w:before="20"/>
        <w:ind w:left="288"/>
      </w:pPr>
      <w:r>
        <w:rPr>
          <w:sz w:val="19"/>
        </w:rPr>
        <w:t>2. Rellena los datos: Nombre completo del titular, Teléfono móvil, Adultos y Niños.</w:t>
      </w:r>
    </w:p>
    <w:p>
      <w:pPr>
        <w:spacing w:after="40" w:before="20"/>
        <w:ind w:left="288"/>
      </w:pPr>
      <w:r>
        <w:rPr>
          <w:sz w:val="19"/>
        </w:rPr>
        <w:t>3. En 'Fecha Cargo Previsto', indica la fecha límite pactada para este evento (ej. 28/12/2026).</w:t>
      </w:r>
    </w:p>
    <w:p>
      <w:pPr>
        <w:spacing w:after="40" w:before="20"/>
        <w:ind w:left="288"/>
      </w:pPr>
      <w:r>
        <w:rPr>
          <w:sz w:val="19"/>
        </w:rPr>
        <w:t>4. Observa el 'Cód. Pedido PayGold' generado automáticamente (ej. GE-232078).</w:t>
      </w:r>
    </w:p>
    <w:p>
      <w:pPr>
        <w:spacing w:after="40" w:before="20"/>
        <w:ind w:left="288"/>
      </w:pPr>
      <w:r>
        <w:rPr>
          <w:b/>
          <w:color w:val="B91C1C"/>
          <w:sz w:val="19"/>
        </w:rPr>
        <w:t>REGLA DE SEGURIDAD: NUNCA escribir tarjetas de crédito completas de 16 dígitos en las Observaciones. Si el cliente la facilita por teléfono, anota únicamente los últimos 4 dígitos (ej. 2525) en su casilla correspondiente.</w:t>
      </w:r>
    </w:p>
    <w:p>
      <w:pPr>
        <w:spacing w:before="120" w:after="160"/>
        <w:jc w:val="center"/>
      </w:pPr>
    </w:p>
    <w:p>
      <w:r>
        <w:drawing>
          <wp:inline xmlns:a="http://schemas.openxmlformats.org/drawingml/2006/main" xmlns:pic="http://schemas.openxmlformats.org/drawingml/2006/picture">
            <wp:extent cx="5303520" cy="3542586"/>
            <wp:docPr id="1" name="Picture 1"/>
            <wp:cNvGraphicFramePr>
              <a:graphicFrameLocks noChangeAspect="1"/>
            </wp:cNvGraphicFramePr>
            <a:graphic>
              <a:graphicData uri="http://schemas.openxmlformats.org/drawingml/2006/picture">
                <pic:pic>
                  <pic:nvPicPr>
                    <pic:cNvPr id="0" name="step1_mesachef.png"/>
                    <pic:cNvPicPr/>
                  </pic:nvPicPr>
                  <pic:blipFill>
                    <a:blip r:embed="rId9"/>
                    <a:stretch>
                      <a:fillRect/>
                    </a:stretch>
                  </pic:blipFill>
                  <pic:spPr>
                    <a:xfrm>
                      <a:off x="0" y="0"/>
                      <a:ext cx="5303520" cy="3542586"/>
                    </a:xfrm>
                    <a:prstGeom prst="rect"/>
                  </pic:spPr>
                </pic:pic>
              </a:graphicData>
            </a:graphic>
          </wp:inline>
        </w:drawing>
      </w:r>
    </w:p>
    <w:p>
      <w:pPr>
        <w:jc w:val="center"/>
      </w:pPr>
      <w:r>
        <w:rPr>
          <w:i/>
          <w:color w:val="64748B"/>
          <w:sz w:val="17"/>
        </w:rPr>
        <w:t>Ilustración PASO 1: Apertura y Registro de la Ficha en MesaChef</w:t>
      </w:r>
    </w:p>
    <w:p>
      <w:pPr>
        <w:spacing w:before="240"/>
      </w:pPr>
      <w:r>
        <w:rPr>
          <w:b/>
          <w:color w:val="1E293B"/>
          <w:sz w:val="24"/>
        </w:rPr>
        <w:t>[PASO 2] Acceso al Portal TPV Virtual de Eurocaja Rural</w:t>
      </w:r>
    </w:p>
    <w:p>
      <w:pPr>
        <w:spacing w:after="40" w:before="20"/>
        <w:ind w:left="288"/>
      </w:pPr>
      <w:r>
        <w:rPr>
          <w:sz w:val="19"/>
        </w:rPr>
        <w:t>1. En la ficha de MesaChef, haz clic en el enlace azul: '🌐 Abrir TPV Eurocaja Rural'.</w:t>
      </w:r>
    </w:p>
    <w:p>
      <w:pPr>
        <w:spacing w:after="40" w:before="20"/>
        <w:ind w:left="288"/>
      </w:pPr>
      <w:r>
        <w:rPr>
          <w:sz w:val="19"/>
        </w:rPr>
        <w:t>2. En la pantalla de bienvenida de Redsys Eurocaja introduce:</w:t>
      </w:r>
    </w:p>
    <w:p>
      <w:pPr>
        <w:spacing w:after="40" w:before="20"/>
        <w:ind w:left="288"/>
      </w:pPr>
      <w:r>
        <w:rPr>
          <w:sz w:val="19"/>
        </w:rPr>
        <w:t xml:space="preserve">   • Usuario: 168355840-001 (imprescindible escribir el guion y el 001).</w:t>
      </w:r>
    </w:p>
    <w:p>
      <w:pPr>
        <w:spacing w:after="40" w:before="20"/>
        <w:ind w:left="288"/>
      </w:pPr>
      <w:r>
        <w:rPr>
          <w:sz w:val="19"/>
        </w:rPr>
        <w:t xml:space="preserve">   • Contraseña: La clave de acceso del TPV asignada a recepción.</w:t>
      </w:r>
    </w:p>
    <w:p>
      <w:pPr>
        <w:spacing w:after="40" w:before="20"/>
        <w:ind w:left="288"/>
      </w:pPr>
      <w:r>
        <w:rPr>
          <w:sz w:val="19"/>
        </w:rPr>
        <w:t>3. Pulsa el botón naranja 'Aceptar'.</w:t>
      </w:r>
    </w:p>
    <w:p>
      <w:pPr>
        <w:spacing w:before="120" w:after="160"/>
        <w:jc w:val="center"/>
      </w:pPr>
    </w:p>
    <w:p>
      <w:r>
        <w:drawing>
          <wp:inline xmlns:a="http://schemas.openxmlformats.org/drawingml/2006/main" xmlns:pic="http://schemas.openxmlformats.org/drawingml/2006/picture">
            <wp:extent cx="3291840" cy="2634724"/>
            <wp:docPr id="2" name="Picture 2"/>
            <wp:cNvGraphicFramePr>
              <a:graphicFrameLocks noChangeAspect="1"/>
            </wp:cNvGraphicFramePr>
            <a:graphic>
              <a:graphicData uri="http://schemas.openxmlformats.org/drawingml/2006/picture">
                <pic:pic>
                  <pic:nvPicPr>
                    <pic:cNvPr id="0" name="step2_redsys_login.png"/>
                    <pic:cNvPicPr/>
                  </pic:nvPicPr>
                  <pic:blipFill>
                    <a:blip r:embed="rId10"/>
                    <a:stretch>
                      <a:fillRect/>
                    </a:stretch>
                  </pic:blipFill>
                  <pic:spPr>
                    <a:xfrm>
                      <a:off x="0" y="0"/>
                      <a:ext cx="3291840" cy="2634724"/>
                    </a:xfrm>
                    <a:prstGeom prst="rect"/>
                  </pic:spPr>
                </pic:pic>
              </a:graphicData>
            </a:graphic>
          </wp:inline>
        </w:drawing>
      </w:r>
    </w:p>
    <w:p>
      <w:pPr>
        <w:jc w:val="center"/>
      </w:pPr>
      <w:r>
        <w:rPr>
          <w:i/>
          <w:color w:val="64748B"/>
          <w:sz w:val="17"/>
        </w:rPr>
        <w:t>Ilustración PASO 2: Acceso al Portal TPV Virtual de Eurocaja Rural</w:t>
      </w:r>
    </w:p>
    <w:p>
      <w:pPr>
        <w:spacing w:before="240"/>
      </w:pPr>
      <w:r>
        <w:rPr>
          <w:b/>
          <w:color w:val="1E293B"/>
          <w:sz w:val="24"/>
        </w:rPr>
        <w:t>[PASO 3] Generación del Enlace de Cobro PayGold en Eurocaja</w:t>
      </w:r>
    </w:p>
    <w:p>
      <w:pPr>
        <w:spacing w:after="40" w:before="20"/>
        <w:ind w:left="288"/>
      </w:pPr>
      <w:r>
        <w:rPr>
          <w:sz w:val="19"/>
        </w:rPr>
        <w:t>1. En el menú de la izquierda de Eurocaja, pulsa en el botón verde 'PayGold' (icono de tarjeta con flecha).</w:t>
      </w:r>
    </w:p>
    <w:p>
      <w:pPr>
        <w:spacing w:after="40" w:before="20"/>
        <w:ind w:left="288"/>
      </w:pPr>
      <w:r>
        <w:rPr>
          <w:sz w:val="19"/>
        </w:rPr>
        <w:t>2. Rellena las casillas usando los botones de copia rápida de MesaChef:</w:t>
      </w:r>
    </w:p>
    <w:p>
      <w:pPr>
        <w:spacing w:after="40" w:before="20"/>
        <w:ind w:left="288"/>
      </w:pPr>
      <w:r>
        <w:rPr>
          <w:sz w:val="19"/>
        </w:rPr>
        <w:t xml:space="preserve">   • Código de pedido: Pulsa '📋 Copiar' en MesaChef y pégalo aquí (Ctrl + V).</w:t>
      </w:r>
    </w:p>
    <w:p>
      <w:pPr>
        <w:spacing w:after="40" w:before="20"/>
        <w:ind w:left="288"/>
      </w:pPr>
      <w:r>
        <w:rPr>
          <w:sz w:val="19"/>
        </w:rPr>
        <w:t xml:space="preserve">   • Importe (N.NN): Pulsa '💰 Copiar Importe' en MesaChef y pégalo aquí (Ctrl + V).</w:t>
      </w:r>
    </w:p>
    <w:p>
      <w:pPr>
        <w:spacing w:after="40" w:before="20"/>
        <w:ind w:left="288"/>
      </w:pPr>
      <w:r>
        <w:rPr>
          <w:sz w:val="19"/>
        </w:rPr>
        <w:t xml:space="preserve">   • Descripción: Pulsa '📝 Copiar Descripción' en MesaChef y pégalo aquí (Ctrl + V). Sigue el formato: Cena Fin de año - [Nombre Cliente].</w:t>
      </w:r>
    </w:p>
    <w:p>
      <w:pPr>
        <w:spacing w:after="40" w:before="20"/>
        <w:ind w:left="288"/>
      </w:pPr>
      <w:r>
        <w:rPr>
          <w:b/>
          <w:color w:val="B91C1C"/>
          <w:sz w:val="19"/>
        </w:rPr>
        <w:t>3. CADUCIDAD DEL ENLACE (OBLIGATORIO): Marca la opción 'Hora exacta' e introduce EXACTAMENTE la misma Fecha Límite de Pago fijada en MesaChef para este evento (ej. Fecha: 28-12-2026, Hora: 23:59). NUNCA dejar las 24 horas por defecto.</w:t>
      </w:r>
    </w:p>
    <w:p>
      <w:pPr>
        <w:spacing w:after="40" w:before="20"/>
        <w:ind w:left="288"/>
      </w:pPr>
      <w:r>
        <w:rPr>
          <w:sz w:val="19"/>
        </w:rPr>
        <w:t>4. Pulsa 'Aceptar / Enviar': el banco facilitará el enlace seguro (https://sis.redsys.es/sis/p2f?t=...).</w:t>
      </w:r>
    </w:p>
    <w:p>
      <w:pPr>
        <w:spacing w:after="40" w:before="20"/>
        <w:ind w:left="288"/>
      </w:pPr>
      <w:r>
        <w:rPr>
          <w:sz w:val="19"/>
        </w:rPr>
        <w:t>5. Copia ese enlace oficial generado.</w:t>
      </w:r>
    </w:p>
    <w:p>
      <w:pPr>
        <w:spacing w:before="120" w:after="160"/>
        <w:jc w:val="center"/>
      </w:pPr>
    </w:p>
    <w:p>
      <w:r>
        <w:drawing>
          <wp:inline xmlns:a="http://schemas.openxmlformats.org/drawingml/2006/main" xmlns:pic="http://schemas.openxmlformats.org/drawingml/2006/picture">
            <wp:extent cx="4937760" cy="4509063"/>
            <wp:docPr id="3" name="Picture 3"/>
            <wp:cNvGraphicFramePr>
              <a:graphicFrameLocks noChangeAspect="1"/>
            </wp:cNvGraphicFramePr>
            <a:graphic>
              <a:graphicData uri="http://schemas.openxmlformats.org/drawingml/2006/picture">
                <pic:pic>
                  <pic:nvPicPr>
                    <pic:cNvPr id="0" name="step3_paygold_form.png"/>
                    <pic:cNvPicPr/>
                  </pic:nvPicPr>
                  <pic:blipFill>
                    <a:blip r:embed="rId11"/>
                    <a:stretch>
                      <a:fillRect/>
                    </a:stretch>
                  </pic:blipFill>
                  <pic:spPr>
                    <a:xfrm>
                      <a:off x="0" y="0"/>
                      <a:ext cx="4937760" cy="4509063"/>
                    </a:xfrm>
                    <a:prstGeom prst="rect"/>
                  </pic:spPr>
                </pic:pic>
              </a:graphicData>
            </a:graphic>
          </wp:inline>
        </w:drawing>
      </w:r>
    </w:p>
    <w:p>
      <w:pPr>
        <w:jc w:val="center"/>
      </w:pPr>
      <w:r>
        <w:rPr>
          <w:i/>
          <w:color w:val="64748B"/>
          <w:sz w:val="17"/>
        </w:rPr>
        <w:t>Ilustración PASO 3: Generación del Enlace de Cobro PayGold en Eurocaja</w:t>
      </w:r>
    </w:p>
    <w:p>
      <w:pPr>
        <w:spacing w:before="240"/>
      </w:pPr>
      <w:r>
        <w:rPr>
          <w:b/>
          <w:color w:val="1E293B"/>
          <w:sz w:val="24"/>
        </w:rPr>
        <w:t>[PASO 4] Envío del WhatsApp con Enlace y Cláusula de Cancelación</w:t>
      </w:r>
    </w:p>
    <w:p>
      <w:pPr>
        <w:spacing w:after="40" w:before="20"/>
        <w:ind w:left="288"/>
      </w:pPr>
      <w:r>
        <w:rPr>
          <w:sz w:val="19"/>
        </w:rPr>
        <w:t>1. Vuelve a la ficha de MesaChef y pega el enlace en 'Enlace PayGold generado en Eurocaja (Obligatorio para WhatsApp)'.</w:t>
      </w:r>
    </w:p>
    <w:p>
      <w:pPr>
        <w:spacing w:after="40" w:before="20"/>
        <w:ind w:left="288"/>
      </w:pPr>
      <w:r>
        <w:rPr>
          <w:sz w:val="19"/>
        </w:rPr>
        <w:t>2. Haz clic en el botón verde: '📱 WhatsApp PayGold'.</w:t>
      </w:r>
    </w:p>
    <w:p>
      <w:pPr>
        <w:spacing w:after="40" w:before="20"/>
        <w:ind w:left="288"/>
      </w:pPr>
      <w:r>
        <w:rPr>
          <w:sz w:val="19"/>
        </w:rPr>
        <w:t>3. Se abrirá WhatsApp con el mensaje oficial redactado automáticamente que incluye:</w:t>
      </w:r>
    </w:p>
    <w:p>
      <w:pPr>
        <w:spacing w:after="40" w:before="20"/>
        <w:ind w:left="288"/>
      </w:pPr>
      <w:r>
        <w:rPr>
          <w:sz w:val="19"/>
        </w:rPr>
        <w:t xml:space="preserve">   • Nombre del cliente y evento oficial (Cena Fin de año 2026 en Sercotel Guadiana).</w:t>
      </w:r>
    </w:p>
    <w:p>
      <w:pPr>
        <w:spacing w:after="40" w:before="20"/>
        <w:ind w:left="288"/>
      </w:pPr>
      <w:r>
        <w:rPr>
          <w:sz w:val="19"/>
        </w:rPr>
        <w:t xml:space="preserve">   • Desglose de comensales e importes (total y pendiente).</w:t>
      </w:r>
    </w:p>
    <w:p>
      <w:pPr>
        <w:spacing w:after="40" w:before="20"/>
        <w:ind w:left="288"/>
      </w:pPr>
      <w:r>
        <w:rPr>
          <w:sz w:val="19"/>
        </w:rPr>
        <w:t xml:space="preserve">   • Enlace oficial de Eurocaja Rural para abonar por Bizum o Tarjeta.</w:t>
      </w:r>
    </w:p>
    <w:p>
      <w:pPr>
        <w:spacing w:after="40" w:before="20"/>
        <w:ind w:left="288"/>
      </w:pPr>
      <w:r>
        <w:rPr>
          <w:sz w:val="19"/>
        </w:rPr>
        <w:t xml:space="preserve">   • Cláusula de cancelación estricta: 'A partir de esta fecha la cantidad será no reembolsable. Si el pago no se recibe en esta fecha, su reserva será cancelada por falta de pago.'</w:t>
      </w:r>
    </w:p>
    <w:p>
      <w:pPr>
        <w:spacing w:after="40" w:before="20"/>
        <w:ind w:left="288"/>
      </w:pPr>
      <w:r>
        <w:rPr>
          <w:sz w:val="19"/>
        </w:rPr>
        <w:t>4. Envía el mensaje al cliente y pulsa 'Guardar Ficha' en MesaChef. El estado cambiará a '📤 Enlace Enviado'.</w:t>
      </w:r>
    </w:p>
    <w:p>
      <w:pPr>
        <w:spacing w:before="120" w:after="160"/>
        <w:jc w:val="center"/>
      </w:pPr>
    </w:p>
    <w:p>
      <w:r>
        <w:drawing>
          <wp:inline xmlns:a="http://schemas.openxmlformats.org/drawingml/2006/main" xmlns:pic="http://schemas.openxmlformats.org/drawingml/2006/picture">
            <wp:extent cx="4754880" cy="3276151"/>
            <wp:docPr id="4" name="Picture 4"/>
            <wp:cNvGraphicFramePr>
              <a:graphicFrameLocks noChangeAspect="1"/>
            </wp:cNvGraphicFramePr>
            <a:graphic>
              <a:graphicData uri="http://schemas.openxmlformats.org/drawingml/2006/picture">
                <pic:pic>
                  <pic:nvPicPr>
                    <pic:cNvPr id="0" name="step4_whatsapp_message.png"/>
                    <pic:cNvPicPr/>
                  </pic:nvPicPr>
                  <pic:blipFill>
                    <a:blip r:embed="rId12"/>
                    <a:stretch>
                      <a:fillRect/>
                    </a:stretch>
                  </pic:blipFill>
                  <pic:spPr>
                    <a:xfrm>
                      <a:off x="0" y="0"/>
                      <a:ext cx="4754880" cy="3276151"/>
                    </a:xfrm>
                    <a:prstGeom prst="rect"/>
                  </pic:spPr>
                </pic:pic>
              </a:graphicData>
            </a:graphic>
          </wp:inline>
        </w:drawing>
      </w:r>
    </w:p>
    <w:p>
      <w:pPr>
        <w:jc w:val="center"/>
      </w:pPr>
      <w:r>
        <w:rPr>
          <w:i/>
          <w:color w:val="64748B"/>
          <w:sz w:val="17"/>
        </w:rPr>
        <w:t>Ilustración PASO 4: Envío del WhatsApp con Enlace y Cláusula de Cancelación</w:t>
      </w:r>
    </w:p>
    <w:p>
      <w:pPr>
        <w:spacing w:before="240"/>
      </w:pPr>
      <w:r>
        <w:rPr>
          <w:b/>
          <w:color w:val="1E293B"/>
          <w:sz w:val="24"/>
        </w:rPr>
        <w:t>[PASO 5] Confirmación del Cobro y Circuito con Isabel (Administración)</w:t>
      </w:r>
    </w:p>
    <w:p>
      <w:pPr>
        <w:spacing w:after="40" w:before="20"/>
        <w:ind w:left="288"/>
      </w:pPr>
      <w:r>
        <w:rPr>
          <w:sz w:val="19"/>
        </w:rPr>
        <w:t>1. Cuando el cliente completa el abono en el enlace del banco, Eurocaja envía un email automático con el justificante y número de pedido.</w:t>
      </w:r>
    </w:p>
    <w:p>
      <w:pPr>
        <w:spacing w:after="40" w:before="20"/>
        <w:ind w:left="288"/>
      </w:pPr>
      <w:r>
        <w:rPr>
          <w:sz w:val="19"/>
        </w:rPr>
        <w:t>2. Este correo llega a la bandeja de Isabel: administracion@hotelguadiana.es.</w:t>
      </w:r>
    </w:p>
    <w:p>
      <w:pPr>
        <w:spacing w:after="40" w:before="20"/>
        <w:ind w:left="288"/>
      </w:pPr>
      <w:r>
        <w:rPr>
          <w:sz w:val="19"/>
        </w:rPr>
        <w:t>3. Isabel comprueba la entrada del dinero y REENVÍA el correo a Recepción para su control operativo.</w:t>
      </w:r>
    </w:p>
    <w:p>
      <w:pPr>
        <w:spacing w:after="40" w:before="20"/>
        <w:ind w:left="288"/>
      </w:pPr>
      <w:r>
        <w:rPr>
          <w:sz w:val="19"/>
        </w:rPr>
        <w:t>4. En cuanto Recepción recibe el email de Isabel:</w:t>
      </w:r>
    </w:p>
    <w:p>
      <w:pPr>
        <w:spacing w:after="40" w:before="20"/>
        <w:ind w:left="288"/>
      </w:pPr>
      <w:r>
        <w:rPr>
          <w:sz w:val="19"/>
        </w:rPr>
        <w:t xml:space="preserve">   • Abre la ficha del participante en MesaChef.</w:t>
      </w:r>
    </w:p>
    <w:p>
      <w:pPr>
        <w:spacing w:after="40" w:before="20"/>
        <w:ind w:left="288"/>
      </w:pPr>
      <w:r>
        <w:rPr>
          <w:sz w:val="19"/>
        </w:rPr>
        <w:t xml:space="preserve">   • En 'Historial de Pagos', anota el importe y pulsa '+ Añadir'.</w:t>
      </w:r>
    </w:p>
    <w:p>
      <w:pPr>
        <w:spacing w:after="40" w:before="20"/>
        <w:ind w:left="288"/>
      </w:pPr>
      <w:r>
        <w:rPr>
          <w:sz w:val="19"/>
        </w:rPr>
        <w:t xml:space="preserve">   • Cambia el 'Estado Garantía' a: '✅ Garantizado / Pagado'.</w:t>
      </w:r>
    </w:p>
    <w:p>
      <w:pPr>
        <w:spacing w:after="40" w:before="20"/>
        <w:ind w:left="288"/>
      </w:pPr>
      <w:r>
        <w:rPr>
          <w:sz w:val="19"/>
        </w:rPr>
        <w:t xml:space="preserve">   • Pulsa 'Guardar Ficha'. ¡La plaza queda 100% blindada!</w:t>
      </w:r>
    </w:p>
    <w:p>
      <w:pPr>
        <w:spacing w:before="120" w:after="160"/>
        <w:jc w:val="center"/>
      </w:pPr>
    </w:p>
    <w:p>
      <w:r>
        <w:drawing>
          <wp:inline xmlns:a="http://schemas.openxmlformats.org/drawingml/2006/main" xmlns:pic="http://schemas.openxmlformats.org/drawingml/2006/picture">
            <wp:extent cx="4937760" cy="935396"/>
            <wp:docPr id="5" name="Picture 5"/>
            <wp:cNvGraphicFramePr>
              <a:graphicFrameLocks noChangeAspect="1"/>
            </wp:cNvGraphicFramePr>
            <a:graphic>
              <a:graphicData uri="http://schemas.openxmlformats.org/drawingml/2006/picture">
                <pic:pic>
                  <pic:nvPicPr>
                    <pic:cNvPr id="0" name="step5_email_isabel.png"/>
                    <pic:cNvPicPr/>
                  </pic:nvPicPr>
                  <pic:blipFill>
                    <a:blip r:embed="rId13"/>
                    <a:stretch>
                      <a:fillRect/>
                    </a:stretch>
                  </pic:blipFill>
                  <pic:spPr>
                    <a:xfrm>
                      <a:off x="0" y="0"/>
                      <a:ext cx="4937760" cy="935396"/>
                    </a:xfrm>
                    <a:prstGeom prst="rect"/>
                  </pic:spPr>
                </pic:pic>
              </a:graphicData>
            </a:graphic>
          </wp:inline>
        </w:drawing>
      </w:r>
    </w:p>
    <w:p>
      <w:pPr>
        <w:jc w:val="center"/>
      </w:pPr>
      <w:r>
        <w:rPr>
          <w:i/>
          <w:color w:val="64748B"/>
          <w:sz w:val="17"/>
        </w:rPr>
        <w:t>Ilustración PASO 5: Confirmación del Cobro y Circuito con Isabel (Administración)</w:t>
      </w:r>
    </w:p>
    <w:sectPr w:rsidR="00FC693F" w:rsidRPr="0006063C" w:rsidSect="00034616">
      <w:pgSz w:w="12240" w:h="15840"/>
      <w:pgMar w:top="1080" w:right="1152" w:bottom="1080"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