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9638"/>
      </w:tblGrid>
      <w:tr>
        <w:tc>
          <w:tcPr>
            <w:tcW w:type="dxa" w:w="9638"/>
            <w:shd w:val="clear" w:color="auto" w:fill="0B2A4A"/>
            <w:vAlign w:val="center"/>
          </w:tcPr>
          <w:p>
            <w:pPr>
              <w:spacing w:after="40" w:before="280"/>
              <w:ind w:left="283"/>
            </w:pPr>
            <w:r/>
            <w:r>
              <w:rPr>
                <w:b/>
                <w:i w:val="0"/>
                <w:color w:val="9FB7D3"/>
                <w:sz w:val="20"/>
              </w:rPr>
              <w:t>ARROW 3 WEAPON SYSTEM</w:t>
            </w:r>
          </w:p>
          <w:p>
            <w:pPr>
              <w:ind w:left="283"/>
            </w:pPr>
            <w:r>
              <w:rPr>
                <w:b/>
                <w:color w:val="FFFFFF"/>
                <w:sz w:val="52"/>
              </w:rPr>
              <w:t>Requirements Consistency Report</w:t>
            </w:r>
          </w:p>
          <w:p>
            <w:pPr>
              <w:spacing w:after="320"/>
              <w:ind w:left="283"/>
            </w:pPr>
            <w:r>
              <w:rPr>
                <w:color w:val="DBE7F3"/>
                <w:sz w:val="22"/>
              </w:rPr>
              <w:t>A3-INT-SSS-010 Rev A  ·  Interceptor Segment Specification  vs.  the program baseline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B2A4A"/>
            <w:vAlign w:val="center"/>
          </w:tcPr>
          <w:p>
            <w:pPr>
              <w:spacing w:after="0" w:before="160"/>
              <w:jc w:val="center"/>
            </w:pPr>
            <w:r/>
            <w:r>
              <w:rPr>
                <w:b/>
                <w:i w:val="0"/>
                <w:color w:val="FFFFFF"/>
                <w:sz w:val="68"/>
              </w:rPr>
              <w:t>11</w:t>
            </w:r>
          </w:p>
        </w:tc>
        <w:tc>
          <w:tcPr>
            <w:tcW w:type="dxa" w:w="2409"/>
            <w:shd w:val="clear" w:color="auto" w:fill="B91C1C"/>
            <w:vAlign w:val="center"/>
          </w:tcPr>
          <w:p>
            <w:pPr>
              <w:spacing w:after="0" w:before="160"/>
              <w:jc w:val="center"/>
            </w:pPr>
            <w:r/>
            <w:r>
              <w:rPr>
                <w:b/>
                <w:i w:val="0"/>
                <w:color w:val="FFFFFF"/>
                <w:sz w:val="68"/>
              </w:rPr>
              <w:t>5</w:t>
            </w:r>
          </w:p>
        </w:tc>
        <w:tc>
          <w:tcPr>
            <w:tcW w:type="dxa" w:w="2409"/>
            <w:shd w:val="clear" w:color="auto" w:fill="EA580C"/>
            <w:vAlign w:val="center"/>
          </w:tcPr>
          <w:p>
            <w:pPr>
              <w:spacing w:after="0" w:before="160"/>
              <w:jc w:val="center"/>
            </w:pPr>
            <w:r/>
            <w:r>
              <w:rPr>
                <w:b/>
                <w:i w:val="0"/>
                <w:color w:val="FFFFFF"/>
                <w:sz w:val="68"/>
              </w:rPr>
              <w:t>5</w:t>
            </w:r>
          </w:p>
        </w:tc>
        <w:tc>
          <w:tcPr>
            <w:tcW w:type="dxa" w:w="2409"/>
            <w:shd w:val="clear" w:color="auto" w:fill="CA8A04"/>
            <w:vAlign w:val="center"/>
          </w:tcPr>
          <w:p>
            <w:pPr>
              <w:spacing w:after="0" w:before="160"/>
              <w:jc w:val="center"/>
            </w:pPr>
            <w:r/>
            <w:r>
              <w:rPr>
                <w:b/>
                <w:i w:val="0"/>
                <w:color w:val="FFFFFF"/>
                <w:sz w:val="68"/>
              </w:rPr>
              <w:t>1</w:t>
            </w:r>
          </w:p>
        </w:tc>
      </w:tr>
      <w:tr>
        <w:tc>
          <w:tcPr>
            <w:tcW w:type="dxa" w:w="2409"/>
            <w:shd w:val="clear" w:color="auto" w:fill="0B2A4A"/>
            <w:vAlign w:val="center"/>
          </w:tcPr>
          <w:p>
            <w:pPr>
              <w:spacing w:after="16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TOTAL FINDINGS</w:t>
            </w:r>
          </w:p>
        </w:tc>
        <w:tc>
          <w:tcPr>
            <w:tcW w:type="dxa" w:w="2409"/>
            <w:shd w:val="clear" w:color="auto" w:fill="B91C1C"/>
            <w:vAlign w:val="center"/>
          </w:tcPr>
          <w:p>
            <w:pPr>
              <w:spacing w:after="16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CRITICAL</w:t>
            </w:r>
          </w:p>
        </w:tc>
        <w:tc>
          <w:tcPr>
            <w:tcW w:type="dxa" w:w="2409"/>
            <w:shd w:val="clear" w:color="auto" w:fill="EA580C"/>
            <w:vAlign w:val="center"/>
          </w:tcPr>
          <w:p>
            <w:pPr>
              <w:spacing w:after="16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MAJOR</w:t>
            </w:r>
          </w:p>
        </w:tc>
        <w:tc>
          <w:tcPr>
            <w:tcW w:type="dxa" w:w="2409"/>
            <w:shd w:val="clear" w:color="auto" w:fill="CA8A04"/>
            <w:vAlign w:val="center"/>
          </w:tcPr>
          <w:p>
            <w:pPr>
              <w:spacing w:after="16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MINOR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474"/>
        <w:gridCol w:w="8164"/>
      </w:tblGrid>
      <w:tr>
        <w:tc>
          <w:tcPr>
            <w:tcW w:type="dxa" w:w="1474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VERDICT</w:t>
            </w:r>
          </w:p>
        </w:tc>
        <w:tc>
          <w:tcPr>
            <w:tcW w:type="dxa" w:w="8164"/>
            <w:shd w:val="clear" w:color="auto" w:fill="FDE8E8"/>
            <w:vAlign w:val="center"/>
          </w:tcPr>
          <w:p>
            <w:pPr>
              <w:spacing w:after="120" w:before="120"/>
            </w:pPr>
            <w:r/>
            <w:r>
              <w:rPr>
                <w:b/>
                <w:i w:val="0"/>
                <w:color w:val="B91C1C"/>
                <w:sz w:val="20"/>
              </w:rPr>
              <w:t>NOT READY FOR BASELINE — 5 critical and 5 major inconsistencies must be resolved before the document can enter the PDR baseline.</w:t>
            </w:r>
          </w:p>
        </w:tc>
      </w:tr>
    </w:tbl>
    <w:p>
      <w:pPr>
        <w:spacing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94"/>
        <w:gridCol w:w="7143"/>
      </w:tblGrid>
      <w:tr>
        <w:tc>
          <w:tcPr>
            <w:tcW w:type="dxa" w:w="2494"/>
            <w:shd w:val="clear" w:color="auto" w:fill="EEF2F7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0B2A4A"/>
                <w:sz w:val="17"/>
              </w:rPr>
              <w:t>Document under review</w:t>
            </w:r>
          </w:p>
        </w:tc>
        <w:tc>
          <w:tcPr>
            <w:tcW w:type="dxa" w:w="7143"/>
            <w:vAlign w:val="center"/>
          </w:tcPr>
          <w:p>
            <w:pPr>
              <w:spacing w:after="60"/>
            </w:pPr>
            <w:r/>
            <w:r>
              <w:rPr>
                <w:b w:val="0"/>
                <w:i w:val="0"/>
                <w:color w:val="1F2937"/>
                <w:sz w:val="17"/>
              </w:rPr>
              <w:t>A3-INT-SSS-010 Rev A — Interceptor Segment Specification</w:t>
            </w:r>
          </w:p>
        </w:tc>
      </w:tr>
      <w:tr>
        <w:tc>
          <w:tcPr>
            <w:tcW w:type="dxa" w:w="2494"/>
            <w:shd w:val="clear" w:color="auto" w:fill="EEF2F7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0B2A4A"/>
                <w:sz w:val="17"/>
              </w:rPr>
              <w:t>Baseline checked</w:t>
            </w:r>
          </w:p>
        </w:tc>
        <w:tc>
          <w:tcPr>
            <w:tcW w:type="dxa" w:w="7143"/>
            <w:vAlign w:val="center"/>
          </w:tcPr>
          <w:p>
            <w:pPr>
              <w:spacing w:after="60"/>
            </w:pPr>
            <w:r/>
            <w:r>
              <w:rPr>
                <w:b w:val="0"/>
                <w:i w:val="0"/>
                <w:color w:val="1F2937"/>
                <w:sz w:val="17"/>
              </w:rPr>
              <w:t>6 documents uploaded so far · 98 requirements indexed</w:t>
            </w:r>
          </w:p>
        </w:tc>
      </w:tr>
      <w:tr>
        <w:tc>
          <w:tcPr>
            <w:tcW w:type="dxa" w:w="2494"/>
            <w:shd w:val="clear" w:color="auto" w:fill="EEF2F7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0B2A4A"/>
                <w:sz w:val="17"/>
              </w:rPr>
              <w:t>Generated</w:t>
            </w:r>
          </w:p>
        </w:tc>
        <w:tc>
          <w:tcPr>
            <w:tcW w:type="dxa" w:w="7143"/>
            <w:vAlign w:val="center"/>
          </w:tcPr>
          <w:p>
            <w:pPr>
              <w:spacing w:after="60"/>
            </w:pPr>
            <w:r/>
            <w:r>
              <w:rPr>
                <w:b w:val="0"/>
                <w:i w:val="0"/>
                <w:color w:val="1F2937"/>
                <w:sz w:val="17"/>
              </w:rPr>
              <w:t>22 October 2026, 14:56</w:t>
            </w:r>
          </w:p>
        </w:tc>
      </w:tr>
      <w:tr>
        <w:tc>
          <w:tcPr>
            <w:tcW w:type="dxa" w:w="2494"/>
            <w:shd w:val="clear" w:color="auto" w:fill="EEF2F7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0B2A4A"/>
                <w:sz w:val="17"/>
              </w:rPr>
              <w:t>Produced by</w:t>
            </w:r>
          </w:p>
        </w:tc>
        <w:tc>
          <w:tcPr>
            <w:tcW w:type="dxa" w:w="7143"/>
            <w:vAlign w:val="center"/>
          </w:tcPr>
          <w:p>
            <w:pPr>
              <w:spacing w:after="60"/>
            </w:pPr>
            <w:r/>
            <w:r>
              <w:rPr>
                <w:b w:val="0"/>
                <w:i w:val="0"/>
                <w:color w:val="1F2937"/>
                <w:sz w:val="17"/>
              </w:rPr>
              <w:t>EDK custom agent “Arrow 3 Baseline Sentinel” (Hermes) — automated analysis, to be confirmed by the Interface Working Group</w:t>
            </w:r>
          </w:p>
        </w:tc>
      </w:tr>
      <w:tr>
        <w:tc>
          <w:tcPr>
            <w:tcW w:type="dxa" w:w="2494"/>
            <w:shd w:val="clear" w:color="auto" w:fill="EEF2F7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0B2A4A"/>
                <w:sz w:val="17"/>
              </w:rPr>
              <w:t>Classification</w:t>
            </w:r>
          </w:p>
        </w:tc>
        <w:tc>
          <w:tcPr>
            <w:tcW w:type="dxa" w:w="7143"/>
            <w:vAlign w:val="center"/>
          </w:tcPr>
          <w:p>
            <w:pPr>
              <w:spacing w:after="60"/>
            </w:pPr>
            <w:r/>
            <w:r>
              <w:rPr>
                <w:b w:val="0"/>
                <w:i w:val="0"/>
                <w:color w:val="1F2937"/>
                <w:sz w:val="17"/>
              </w:rPr>
              <w:t>UNCLASSIFIED // FICTITIOUS DEMONSTRATION DATA</w:t>
            </w:r>
          </w:p>
        </w:tc>
      </w:tr>
    </w:tbl>
    <w:p>
      <w:pPr>
        <w:spacing w:before="320"/>
      </w:pPr>
      <w:r>
        <w:rPr>
          <w:b/>
          <w:color w:val="0B2A4A"/>
          <w:sz w:val="22"/>
        </w:rPr>
        <w:t>Blocking findings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850"/>
        <w:gridCol w:w="6236"/>
        <w:gridCol w:w="2551"/>
      </w:tblGrid>
      <w:tr>
        <w:tc>
          <w:tcPr>
            <w:tcW w:type="dxa" w:w="850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F-01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1F2937"/>
                <w:sz w:val="18"/>
              </w:rPr>
              <w:t>Data Interface Mismatch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6B7280"/>
                <w:sz w:val="16"/>
              </w:rPr>
              <w:t>INT-DAT-020  ↔  IF-DAT-001</w:t>
              <w:br/>
              <w:t>A3-ICD-110</w:t>
            </w:r>
          </w:p>
        </w:tc>
      </w:tr>
      <w:tr>
        <w:tc>
          <w:tcPr>
            <w:tcW w:type="dxa" w:w="850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F-02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1F2937"/>
                <w:sz w:val="18"/>
              </w:rPr>
              <w:t>Coordinate System Mismatch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6B7280"/>
                <w:sz w:val="16"/>
              </w:rPr>
              <w:t>INT-NAV-040  ↔  SRS-NAV-002</w:t>
              <w:br/>
              <w:t>A3-SRS-001</w:t>
            </w:r>
          </w:p>
        </w:tc>
      </w:tr>
      <w:tr>
        <w:tc>
          <w:tcPr>
            <w:tcW w:type="dxa" w:w="850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F-03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1F2937"/>
                <w:sz w:val="18"/>
              </w:rPr>
              <w:t>Excessive All-Up Round Mass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6B7280"/>
                <w:sz w:val="16"/>
              </w:rPr>
              <w:t>INT-PHY-002  ↔  IF-MEC-002</w:t>
              <w:br/>
              <w:t>A3-ICD-110</w:t>
            </w:r>
          </w:p>
        </w:tc>
      </w:tr>
      <w:tr>
        <w:tc>
          <w:tcPr>
            <w:tcW w:type="dxa" w:w="850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F-04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1F2937"/>
                <w:sz w:val="18"/>
              </w:rPr>
              <w:t>Excessive Power Draw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6B7280"/>
                <w:sz w:val="16"/>
              </w:rPr>
              <w:t>INT-PWR-012  ↔  IF-PWR-003</w:t>
              <w:br/>
              <w:t>A3-ICD-110</w:t>
            </w:r>
          </w:p>
        </w:tc>
      </w:tr>
      <w:tr>
        <w:tc>
          <w:tcPr>
            <w:tcW w:type="dxa" w:w="850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F-05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1F2937"/>
                <w:sz w:val="18"/>
              </w:rPr>
              <w:t>Ready-to-Launch Timeline Overrun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6B7280"/>
                <w:sz w:val="16"/>
              </w:rPr>
              <w:t>INT-TIM-031  ↔  IF-SEQ-006</w:t>
              <w:br/>
              <w:t>A3-ICD-110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incoming Interceptor Segment Specification (A3-INT-SSS-010 Rev A) was checked requirement by requirement against all 6 Arrow 3 documents uploaded so far. The check found 11 inconsistencies: 5 critical, 5 major and 1 minor. Most conflicts are with A3-ICD-110 (5).</w:t>
      </w:r>
    </w:p>
    <w:p>
      <w:r>
        <w:t>Critical findings break a baselined interface and block the PDR baseline; major findings violate an allocated budget or environment; minor findings are documentation inconsistencies.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22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Conflict heat map</w:t>
      </w:r>
    </w:p>
    <w:p>
      <w:r>
        <w:t>Where the incoming document disagrees with the baseline: each cell counts the findings for one category and one baseline document, coloured by the most severe of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2268"/>
        <w:gridCol w:w="1843"/>
        <w:gridCol w:w="1843"/>
        <w:gridCol w:w="1843"/>
        <w:gridCol w:w="1843"/>
      </w:tblGrid>
      <w:tr>
        <w:tc>
          <w:tcPr>
            <w:tcW w:type="dxa" w:w="2268"/>
            <w:vAlign w:val="center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1843"/>
            <w:shd w:val="clear" w:color="auto" w:fill="0B2A4A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BMC-SSS-030</w:t>
            </w:r>
          </w:p>
        </w:tc>
        <w:tc>
          <w:tcPr>
            <w:tcW w:type="dxa" w:w="1843"/>
            <w:shd w:val="clear" w:color="auto" w:fill="0B2A4A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ENV-050</w:t>
            </w:r>
          </w:p>
        </w:tc>
        <w:tc>
          <w:tcPr>
            <w:tcW w:type="dxa" w:w="1843"/>
            <w:shd w:val="clear" w:color="auto" w:fill="0B2A4A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ICD-110</w:t>
            </w:r>
          </w:p>
        </w:tc>
        <w:tc>
          <w:tcPr>
            <w:tcW w:type="dxa" w:w="1843"/>
            <w:shd w:val="clear" w:color="auto" w:fill="0B2A4A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SRS-001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Compliance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CA8A04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Electrical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Environmental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Interface</w:t>
            </w:r>
          </w:p>
        </w:tc>
        <w:tc>
          <w:tcPr>
            <w:tcW w:type="dxa" w:w="1843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Performance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Physical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Reliability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Timeline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</w:tbl>
    <w:p>
      <w:pPr>
        <w:spacing w:before="80"/>
      </w:pPr>
      <w:r>
        <w:rPr>
          <w:color w:val="B91C1C"/>
        </w:rPr>
        <w:t xml:space="preserve">■ </w:t>
      </w:r>
      <w:r>
        <w:rPr>
          <w:sz w:val="16"/>
        </w:rPr>
        <w:t xml:space="preserve">Critical    </w:t>
      </w:r>
      <w:r>
        <w:rPr>
          <w:color w:val="EA580C"/>
        </w:rPr>
        <w:t xml:space="preserve">■ </w:t>
      </w:r>
      <w:r>
        <w:rPr>
          <w:sz w:val="16"/>
        </w:rPr>
        <w:t xml:space="preserve">Major    </w:t>
      </w:r>
      <w:r>
        <w:rPr>
          <w:color w:val="CA8A04"/>
        </w:rPr>
        <w:t xml:space="preserve">■ </w:t>
      </w:r>
      <w:r>
        <w:rPr>
          <w:sz w:val="16"/>
        </w:rPr>
        <w:t xml:space="preserve">Minor    </w:t>
      </w:r>
    </w:p>
    <w:p>
      <w:pPr>
        <w:pStyle w:val="Heading1"/>
      </w:pPr>
      <w:r>
        <w:t>3. Findings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794"/>
        <w:gridCol w:w="1191"/>
        <w:gridCol w:w="4025"/>
        <w:gridCol w:w="1587"/>
        <w:gridCol w:w="2041"/>
      </w:tblGrid>
      <w:tr>
        <w:tc>
          <w:tcPr>
            <w:tcW w:type="dxa" w:w="794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191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4025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Finding</w:t>
            </w:r>
          </w:p>
        </w:tc>
        <w:tc>
          <w:tcPr>
            <w:tcW w:type="dxa" w:w="1587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Incoming req.</w:t>
            </w:r>
          </w:p>
        </w:tc>
        <w:tc>
          <w:tcPr>
            <w:tcW w:type="dxa" w:w="2041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Conflicts with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F-01</w:t>
            </w:r>
          </w:p>
        </w:tc>
        <w:tc>
          <w:tcPr>
            <w:tcW w:type="dxa" w:w="119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CRITICAL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Data Interface Mismatch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INT-DAT-020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IF-DAT-001</w:t>
              <w:br/>
              <w:t>A3-ICD-110</w:t>
            </w:r>
          </w:p>
        </w:tc>
      </w:tr>
      <w:tr>
        <w:tc>
          <w:tcPr>
            <w:tcW w:type="dxa" w:w="794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F-02</w:t>
            </w:r>
          </w:p>
        </w:tc>
        <w:tc>
          <w:tcPr>
            <w:tcW w:type="dxa" w:w="119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CRITICAL</w:t>
            </w:r>
          </w:p>
        </w:tc>
        <w:tc>
          <w:tcPr>
            <w:tcW w:type="dxa" w:w="4025"/>
            <w:vAlign w:val="center"/>
            <w:shd w:val="clear" w:color="auto" w:fill="F8FAFC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Coordinate System Mismatch</w:t>
            </w:r>
          </w:p>
        </w:tc>
        <w:tc>
          <w:tcPr>
            <w:tcW w:type="dxa" w:w="1587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INT-NAV-040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SRS-NAV-002</w:t>
              <w:br/>
              <w:t>A3-SRS-001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F-03</w:t>
            </w:r>
          </w:p>
        </w:tc>
        <w:tc>
          <w:tcPr>
            <w:tcW w:type="dxa" w:w="119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CRITICAL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Excessive All-Up Round Mass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INT-PHY-002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IF-MEC-002</w:t>
              <w:br/>
              <w:t>A3-ICD-110</w:t>
            </w:r>
          </w:p>
        </w:tc>
      </w:tr>
      <w:tr>
        <w:tc>
          <w:tcPr>
            <w:tcW w:type="dxa" w:w="794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F-04</w:t>
            </w:r>
          </w:p>
        </w:tc>
        <w:tc>
          <w:tcPr>
            <w:tcW w:type="dxa" w:w="119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CRITICAL</w:t>
            </w:r>
          </w:p>
        </w:tc>
        <w:tc>
          <w:tcPr>
            <w:tcW w:type="dxa" w:w="4025"/>
            <w:vAlign w:val="center"/>
            <w:shd w:val="clear" w:color="auto" w:fill="F8FAFC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Excessive Power Draw</w:t>
            </w:r>
          </w:p>
        </w:tc>
        <w:tc>
          <w:tcPr>
            <w:tcW w:type="dxa" w:w="1587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INT-PWR-012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IF-PWR-003</w:t>
              <w:br/>
              <w:t>A3-ICD-110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F-05</w:t>
            </w:r>
          </w:p>
        </w:tc>
        <w:tc>
          <w:tcPr>
            <w:tcW w:type="dxa" w:w="119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CRITICAL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Ready-to-Launch Timeline Overrun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INT-TIM-031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IF-SEQ-006</w:t>
              <w:br/>
              <w:t>A3-ICD-110</w:t>
            </w:r>
          </w:p>
        </w:tc>
      </w:tr>
      <w:tr>
        <w:tc>
          <w:tcPr>
            <w:tcW w:type="dxa" w:w="794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F-06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  <w:shd w:val="clear" w:color="auto" w:fill="F8FAFC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Outdated IFTU Specification</w:t>
            </w:r>
          </w:p>
        </w:tc>
        <w:tc>
          <w:tcPr>
            <w:tcW w:type="dxa" w:w="1587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INT-DAT-022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BMC-ENG-020</w:t>
              <w:br/>
              <w:t>A3-BMC-SSS-030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F-07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Reduced Operating Temperature Range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INT-ENV-050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SRS-ENV-002</w:t>
              <w:br/>
              <w:t>A3-SRS-001</w:t>
            </w:r>
          </w:p>
        </w:tc>
      </w:tr>
      <w:tr>
        <w:tc>
          <w:tcPr>
            <w:tcW w:type="dxa" w:w="794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F-08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  <w:shd w:val="clear" w:color="auto" w:fill="F8FAFC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Reliability Shortfall (MTBF)</w:t>
            </w:r>
          </w:p>
        </w:tc>
        <w:tc>
          <w:tcPr>
            <w:tcW w:type="dxa" w:w="1587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INT-RAM-070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RAM-004</w:t>
              <w:br/>
              <w:t>A3-ENV-050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F-09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Reduced Storage Life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INT-RAM-072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SRS-RAM-010</w:t>
              <w:br/>
              <w:t>A3-SRS-001</w:t>
            </w:r>
          </w:p>
        </w:tc>
      </w:tr>
      <w:tr>
        <w:tc>
          <w:tcPr>
            <w:tcW w:type="dxa" w:w="794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F-10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  <w:shd w:val="clear" w:color="auto" w:fill="F8FAFC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Degraded Time Synchronization Accuracy</w:t>
            </w:r>
          </w:p>
        </w:tc>
        <w:tc>
          <w:tcPr>
            <w:tcW w:type="dxa" w:w="1587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INT-TIM-035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IF-TIM-010</w:t>
              <w:br/>
              <w:t>A3-ICD-110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F-11</w:t>
            </w:r>
          </w:p>
        </w:tc>
        <w:tc>
          <w:tcPr>
            <w:tcW w:type="dxa" w:w="1191"/>
            <w:shd w:val="clear" w:color="auto" w:fill="CA8A04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MINOR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Outdated EMC Standard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INT-EMC-060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SRS-EMC-001</w:t>
              <w:br/>
              <w:t>A3-SRS-001</w:t>
            </w:r>
          </w:p>
        </w:tc>
      </w:tr>
    </w:tbl>
    <w:p>
      <w:pPr>
        <w:pStyle w:val="Heading1"/>
      </w:pPr>
      <w:r>
        <w:t>4. Detailed findings</w:t>
      </w:r>
    </w:p>
    <w:p>
      <w:pPr>
        <w:pStyle w:val="Heading2"/>
      </w:pPr>
      <w:r>
        <w:t>F-01  ·  Data Interface Mismatch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CRITICAL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Interface   ·   INT-DAT-020  ↔  IF-DAT-001 (A3-ICD-110)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91C1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INT-DAT-020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A3-ICD-110  ·  IF-DAT-001</w:t>
            </w:r>
          </w:p>
        </w:tc>
      </w:tr>
      <w:tr>
        <w:tc>
          <w:tcPr>
            <w:tcW w:type="dxa" w:w="4819"/>
            <w:shd w:val="clear" w:color="auto" w:fill="FDE8E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exchange pre-launch data with the launcher over a dual-redundant Gigabit Ethernet (1000BASE-T) link...”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“Data between the Launcher Control Unit and the AUR shall be exchanged over a dual-redundant MIL-STD-1553B bus...”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Complete physical and protocol incompatibility between Interceptor and Launcher.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Revert to MIL-STD-1553B or overhaul entire system data architecture.</w:t>
      </w:r>
    </w:p>
    <w:p>
      <w:pPr>
        <w:pStyle w:val="Heading2"/>
      </w:pPr>
      <w:r>
        <w:t>F-02  ·  Coordinate System Mismatch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CRITICAL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Interface   ·   INT-NAV-040  ↔  SRS-NAV-002 (A3-SRS-001)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91C1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INT-NAV-040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A3-SRS-001  ·  SRS-NAV-002</w:t>
            </w:r>
          </w:p>
        </w:tc>
      </w:tr>
      <w:tr>
        <w:tc>
          <w:tcPr>
            <w:tcW w:type="dxa" w:w="4819"/>
            <w:shd w:val="clear" w:color="auto" w:fill="FDE8E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“Pre-launch target data and in-flight target updates shall be received and processed in Earth-Centred Inertial coordinates (ECI, J2000 epoch).”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“All target state vectors and launch parameters exchanged between segments shall be expressed in WGS-84 Earth-Centred, Earth-Fixed (ECEF) coordinates...”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Targeting failure; the interceptor will process coordinates in a different frame than provided by the BMC and FCR.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Change interceptor processing to WGS-84 ECEF.</w:t>
      </w:r>
    </w:p>
    <w:p>
      <w:pPr>
        <w:pStyle w:val="Heading2"/>
      </w:pPr>
      <w:r>
        <w:t>F-03  ·  Excessive All-Up Round Mass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CRITICAL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Physical   ·   INT-PHY-002  ↔  IF-MEC-002 (A3-ICD-110)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91C1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INT-PHY-002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A3-ICD-110  ·  IF-MEC-002</w:t>
            </w:r>
          </w:p>
        </w:tc>
      </w:tr>
      <w:tr>
        <w:tc>
          <w:tcPr>
            <w:tcW w:type="dxa" w:w="4819"/>
            <w:shd w:val="clear" w:color="auto" w:fill="FDE8E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mass of the all-up round, including the canister, shall not exceed 1,450 kg.”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mass of the loaded canister (all-up round) shall not exceed 1,350 kg.”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Exceeds maximum mass allowed by the ICD and the launcher erector structural limits (LCH-MEC-014).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Reduce AUR mass to 1,350 kg or update Launcher and ICD specifications.</w:t>
      </w:r>
    </w:p>
    <w:p>
      <w:pPr>
        <w:pStyle w:val="Heading2"/>
      </w:pPr>
      <w:r>
        <w:t>F-04  ·  Excessive Power Draw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CRITICAL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Electrical   ·   INT-PWR-012  ↔  IF-PWR-003 (A3-ICD-110)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91C1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INT-PWR-012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A3-ICD-110  ·  IF-PWR-003</w:t>
            </w:r>
          </w:p>
        </w:tc>
      </w:tr>
      <w:tr>
        <w:tc>
          <w:tcPr>
            <w:tcW w:type="dxa" w:w="4819"/>
            <w:shd w:val="clear" w:color="auto" w:fill="FDE8E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“During pre-launch (IMU run-up and thermal conditioning) the interceptor shall draw not more than 18 A continuous from the launcher supply.”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current drawn by one AUR from the launcher supply shall not exceed 12 A continuous in any pre-launch state...”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Will trigger electronic circuit breakers in the launcher PDU (LCH-PWR-021), preventing power-up.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Optimize power consumption to 12 A or upgrade Launcher PDU capacity.</w:t>
      </w:r>
    </w:p>
    <w:p>
      <w:pPr>
        <w:pStyle w:val="Heading2"/>
      </w:pPr>
      <w:r>
        <w:t>F-05  ·  Ready-to-Launch Timeline Overrun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CRITICAL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Timeline   ·   INT-TIM-031  ↔  IF-SEQ-006 (A3-ICD-110)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91C1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INT-TIM-031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A3-ICD-110  ·  IF-SEQ-006</w:t>
            </w:r>
          </w:p>
        </w:tc>
      </w:tr>
      <w:tr>
        <w:tc>
          <w:tcPr>
            <w:tcW w:type="dxa" w:w="4819"/>
            <w:shd w:val="clear" w:color="auto" w:fill="FDE8E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report READY within 6.0 s of receiving the Prepare-to-Launch (PTL) command.”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report READY (message STS, bit 0) within 3.0 s of receiving PTL.”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Violates the system reaction time budget (SRS-TL-002), potentially delaying the first launch beyond the required 8.0 s.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Reduce internal readiness sequence to 3.0 s.</w:t>
      </w:r>
    </w:p>
    <w:p>
      <w:pPr>
        <w:pStyle w:val="Heading2"/>
      </w:pPr>
      <w:r>
        <w:t>F-06  ·  Outdated IFTU Specification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Interface   ·   INT-DAT-022  ↔  BMC-ENG-020 (A3-BMC-SSS-030)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INT-DAT-022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A3-BMC-SSS-030  ·  BMC-ENG-020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“In-flight target update messages shall be decoded per A3-ICD-120 Rev A.”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BMC shall transmit in-flight target updates (IFTU) ... per A3-ICD-120 Rev C.”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Message decoding errors if Rev C contains breaking changes relative to Rev A.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Update reference to A3-ICD-120 Rev C.</w:t>
      </w:r>
    </w:p>
    <w:p>
      <w:pPr>
        <w:pStyle w:val="Heading2"/>
      </w:pPr>
      <w:r>
        <w:t>F-07  ·  Reduced Operating Temperature Range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Environmental   ·   INT-ENV-050  ↔  SRS-ENV-002 (A3-SRS-001)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INT-ENV-050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A3-SRS-001  ·  SRS-ENV-002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all-up round shall operate at ambient temperatures from −20 °C to +50 °C.”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“All field-deployed equipment shall operate at ambient temperatures from −33 °C to +55 °C...”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Interceptor cannot be deployed in extreme cold/heat environments defined as required for the system.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Expand operating range to −33 °C to +55 °C.</w:t>
      </w:r>
    </w:p>
    <w:p>
      <w:pPr>
        <w:pStyle w:val="Heading2"/>
      </w:pPr>
      <w:r>
        <w:t>F-08  ·  Reliability Shortfall (MTBF)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Reliability   ·   INT-RAM-070  ↔  RAM-004 (A3-ENV-050)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INT-RAM-070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A3-ENV-050  ·  RAM-004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captive-carry MTBF of the all-up round, powered on the launcher, shall be at least 1,500 h.”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“Interceptor (all-up round) captive-carry MTBF ... shall be at least 2,000 h.”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Increases the frequency of interceptor failures and replacement needs, degrading system operational availability.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Increase MTBF to 2,000 h.</w:t>
      </w:r>
    </w:p>
    <w:p>
      <w:pPr>
        <w:pStyle w:val="Heading2"/>
      </w:pPr>
      <w:r>
        <w:t>F-09  ·  Reduced Storage Life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Reliability   ·   INT-RAM-072  ↔  SRS-RAM-010 (A3-SRS-001)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INT-RAM-072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A3-SRS-001  ·  SRS-RAM-010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have a storage life of at least 10 years in its sealed canister.”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have a storage life of at least 15 years in its sealed canister...”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Significantly increases logistics costs and replenishment frequency for the interceptor stockpile.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Increase storage life to 15 years.</w:t>
      </w:r>
    </w:p>
    <w:p>
      <w:pPr>
        <w:pStyle w:val="Heading2"/>
      </w:pPr>
      <w:r>
        <w:t>F-10  ·  Degraded Time Synchronization Accuracy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Performance   ·   INT-TIM-035  ↔  IF-TIM-010 (A3-ICD-110)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INT-TIM-035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A3-ICD-110  ·  IF-TIM-010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time reference shall be synchronised to system time within ±10 µs.”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“...the interceptor shall align its time reference within ±1 µs.”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Reduced precision in time-tagging and synchronization, potentially affecting interceptor guidance accuracy.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Tighten synchronization requirement to ±1 µs.</w:t>
      </w:r>
    </w:p>
    <w:p>
      <w:pPr>
        <w:pStyle w:val="Heading2"/>
      </w:pPr>
      <w:r>
        <w:t>F-11  ·  Outdated EMC Standard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CA8A04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MINOR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Compliance   ·   INT-EMC-060  ↔  SRS-EMC-001 (A3-SRS-001)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CA8A04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INT-EMC-060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A3-SRS-001  ·  SRS-EMC-001</w:t>
            </w:r>
          </w:p>
        </w:tc>
      </w:tr>
      <w:tr>
        <w:tc>
          <w:tcPr>
            <w:tcW w:type="dxa" w:w="4819"/>
            <w:shd w:val="clear" w:color="auto" w:fill="FEF9C3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meet MIL-STD-461F requirements CE102, CS114, RE102 and RS103.”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“All segments shall meet MIL-STD-461G, tailored per A3-ENV-050 Rev B.”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Potential compliance gap as MIL-STD-461F is superseded by Rev G.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Update compliance requirement to MIL-STD-461G.</w:t>
      </w:r>
    </w:p>
    <w:p>
      <w:pPr>
        <w:pStyle w:val="Heading1"/>
      </w:pPr>
      <w:r>
        <w:t>5. Action plan</w:t>
      </w:r>
    </w:p>
    <w:p>
      <w:r>
        <w:t>Proposed actions for the next Interface Working Group and Configuration Control Board.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794"/>
        <w:gridCol w:w="5556"/>
        <w:gridCol w:w="2041"/>
        <w:gridCol w:w="1247"/>
      </w:tblGrid>
      <w:tr>
        <w:tc>
          <w:tcPr>
            <w:tcW w:type="dxa" w:w="794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556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2041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247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Due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B91C1C"/>
                <w:sz w:val="17"/>
              </w:rPr>
              <w:t>F-01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Revert to MIL-STD-1553B or overhaul entire system data architecture.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Interface Working Group (INT/LCH)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Before PDR data package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B91C1C"/>
                <w:sz w:val="17"/>
              </w:rPr>
              <w:t>F-02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Change interceptor processing to WGS-84 ECEF.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Interface Working Group (INT/LCH)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Before PDR data package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B91C1C"/>
                <w:sz w:val="17"/>
              </w:rPr>
              <w:t>F-03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Reduce AUR mass to 1,350 kg or update Launcher and ICD specifications.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Interceptor IPT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Before PDR data package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B91C1C"/>
                <w:sz w:val="17"/>
              </w:rPr>
              <w:t>F-04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Optimize power consumption to 12 A or upgrade Launcher PDU capacity.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Interface Working Group (INT/LCH)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Before PDR data package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B91C1C"/>
                <w:sz w:val="17"/>
              </w:rPr>
              <w:t>F-05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Reduce internal readiness sequence to 3.0 s.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Weapon System Engineering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Before PDR data package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F-06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Update reference to A3-ICD-120 Rev C.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Interface Working Group (INT/LCH)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F-07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Expand operating range to −33 °C to +55 °C.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Specialty Engineering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F-08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Increase MTBF to 2,000 h.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Specialty Engineering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F-09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Increase storage life to 15 years.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Specialty Engineering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F-10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Tighten synchronization requirement to ±1 µs.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Interceptor IPT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CA8A04"/>
                <w:sz w:val="17"/>
              </w:rPr>
              <w:t>F-11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Update compliance requirement to MIL-STD-461G.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Interceptor IPT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Next revision</w:t>
            </w:r>
          </w:p>
        </w:tc>
      </w:tr>
    </w:tbl>
    <w:p>
      <w:pPr>
        <w:pStyle w:val="Heading1"/>
      </w:pPr>
      <w:r>
        <w:t>Appendix A. Baseline documents checked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154"/>
        <w:gridCol w:w="680"/>
        <w:gridCol w:w="5443"/>
        <w:gridCol w:w="1361"/>
      </w:tblGrid>
      <w:tr>
        <w:tc>
          <w:tcPr>
            <w:tcW w:type="dxa" w:w="2154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680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Rev</w:t>
            </w:r>
          </w:p>
        </w:tc>
        <w:tc>
          <w:tcPr>
            <w:tcW w:type="dxa" w:w="5443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Title</w:t>
            </w:r>
          </w:p>
        </w:tc>
        <w:tc>
          <w:tcPr>
            <w:tcW w:type="dxa" w:w="1361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Requirements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A3-BMC-SSS-030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A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Battle Management Center Specification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11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A3-ENV-050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B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Environmental and RAM Requirements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15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A3-FCR-SSS-020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B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Fire Control Radar Specification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14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A3-ICD-110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C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Interceptor–Launcher ICD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19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A3-LCH-SSS-040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B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Launcher Segment Specification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21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A3-SRS-001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C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System Requirements Specification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18</w:t>
            </w:r>
          </w:p>
        </w:tc>
      </w:tr>
    </w:tbl>
    <w:p>
      <w:pPr>
        <w:pStyle w:val="Heading1"/>
      </w:pPr>
      <w:r>
        <w:t>Appendix B. How this report was produced</w:t>
      </w:r>
    </w:p>
    <w:p>
      <w:pPr>
        <w:pStyle w:val="ListNumber"/>
      </w:pPr>
      <w:r>
        <w:t>Trigger: A3-INT-SSS-010 Rev A was dropped onto the agent in EDK, waking both Hermes agents.</w:t>
      </w:r>
    </w:p>
    <w:p>
      <w:pPr>
        <w:pStyle w:val="ListNumber"/>
      </w:pPr>
      <w:r>
        <w:t>Baseline register (main Hermes): index/arrow3-baseline.md holds every requirement of every other Word document uploaded so far; only new or changed documents are re-read.</w:t>
      </w:r>
    </w:p>
    <w:p>
      <w:pPr>
        <w:pStyle w:val="ListNumber"/>
      </w:pPr>
      <w:r>
        <w:t>Spec Reader (second Hermes, in parallel): converted the incoming document to Markdown with pandoc, extracted every "shall" statement and wrote a management briefing.</w:t>
      </w:r>
    </w:p>
    <w:p>
      <w:pPr>
        <w:pStyle w:val="ListNumber"/>
      </w:pPr>
      <w:r>
        <w:t>Main Hermes studied the register and the new requirement lines together, then compared every incoming requirement with the baseline.</w:t>
      </w:r>
    </w:p>
    <w:p>
      <w:pPr>
        <w:pStyle w:val="ListNumber"/>
      </w:pPr>
      <w:r>
        <w:t>This report was generated from the findings by the program report kit (consistency_report.py).</w:t>
      </w:r>
    </w:p>
    <w:p>
      <w:r>
        <w:rPr>
          <w:i/>
          <w:color w:val="6B7280"/>
          <w:sz w:val="17"/>
        </w:rPr>
        <w:t>Automated findings support, but do not replace, engineering review. Confirm each finding against the source documents before CCB submission.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B7280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B7280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</w:tcPr>
        <w:p>
          <w:pPr>
            <w:spacing w:after="0"/>
          </w:pPr>
          <w:r>
            <w:rPr>
              <w:b/>
              <w:color w:val="0B2A4A"/>
              <w:sz w:val="16"/>
            </w:rPr>
            <w:t>ARROW 3  ·  REQUIREMENTS CONSISTENCY REPORT</w:t>
          </w:r>
        </w:p>
      </w:tc>
      <w:tc>
        <w:tcPr>
          <w:tcW w:type="dxa" w:w="4819"/>
        </w:tcPr>
        <w:p>
          <w:pPr>
            <w:spacing w:after="0"/>
            <w:jc w:val="right"/>
          </w:pPr>
          <w:r>
            <w:rPr>
              <w:b w:val="0"/>
              <w:color w:val="6B7280"/>
              <w:sz w:val="16"/>
            </w:rPr>
            <w:t>A3-INT-SSS-010 Rev A</w:t>
          </w:r>
        </w:p>
      </w:tc>
    </w:tr>
  </w:tbl>
  <w:p>
    <w:pPr>
      <w:pStyle w:val="Header"/>
      <w:spacing w:after="0"/>
    </w:pPr>
    <w:r>
      <w:rPr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="Arial" w:hAnsi="Arial"/>
      <w:b/>
      <w:bCs/>
      <w:color w:val="0B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/>
      <w:b/>
      <w:bCs/>
      <w:color w:val="1E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" w:hAnsi="Arial"/>
      <w:b/>
      <w:bCs/>
      <w:color w:val="1E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Consistency Report — A3-INT-SSS-010 Rev A</dc:title>
  <dc:subject/>
  <dc:creator>EDK · Arrow 3 Baseline Sentinel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