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Interceptor–Launcher Interface Control Document</w:t>
      </w:r>
    </w:p>
    <w:p>
      <w:pPr>
        <w:spacing w:after="560"/>
      </w:pPr>
      <w:r>
        <w:rPr>
          <w:color w:val="5F6B7A"/>
          <w:sz w:val="26"/>
        </w:rPr>
        <w:t>Mechanical, electrical, data and sequencing interface between the all-up round and the launcher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A3-ICD-110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 July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Interface Working Group (INT / LCH)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 Apr 2025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CCB-25-012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07 Nov 2025</w:t>
            </w:r>
          </w:p>
        </w:tc>
        <w:tc>
          <w:tcPr>
            <w:tcW w:type="dxa" w:w="544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bus RT addressing and message set Table 4 added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CCB-25-038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 Jul 2026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Pre-launch current limit reduced to 12 A; READY timing aligned with SRS-TL-002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CCB-26-022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Interface Working Group chair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 Jul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Interceptor Segment lead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 IPT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 Jul 2026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Launcher Segment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IPT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 Jul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ICD defines the interface between the Arrow 3 all-up round (AUR: interceptor in its canister) and the launcher canister cell. Both the Interceptor Segment and the Launcher Segment shall comply with it.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A3-LCH-SSS-040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Segment Specification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A3-LCH-DWG-2210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Canister envelope and interface drawing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MIL-STD-1553B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Digital Time Division Command/Response Multiplex Data Bus (Notice 4)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MIL-DTL-38999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Connectors, Electrical, Circular, Series III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MIL-STD-1275E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 VDC Electrical Systems in Military Vehicles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</w:t>
            </w:r>
          </w:p>
        </w:tc>
      </w:tr>
    </w:tbl>
    <w:p>
      <w:pPr>
        <w:spacing w:after="40"/>
      </w:pPr>
    </w:p>
    <w:p>
      <w:pPr>
        <w:pStyle w:val="Heading1"/>
      </w:pPr>
      <w:r>
        <w:t>3. Interface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p>
      <w:pPr>
        <w:pStyle w:val="Heading2"/>
      </w:pPr>
      <w:r>
        <w:t>3.1 Mechanical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IF-MEC-001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canister outer envelope and attachment points shall conform to drawing A3-LCH-DWG-2210 Rev D.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IF-MEC-002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mass of the loaded canister (all-up round) shall not exceed 1,350 kg.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IF-MEC-003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centre of gravity of the AUR shall lie within the envelope of A3-LCH-DWG-2210 Rev D, sheet 4.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IF-MEC-001</w:t>
            </w:r>
          </w:p>
        </w:tc>
      </w:tr>
    </w:tbl>
    <w:p>
      <w:pPr>
        <w:spacing w:after="40"/>
      </w:pPr>
    </w:p>
    <w:p>
      <w:pPr>
        <w:pStyle w:val="Heading2"/>
      </w:pPr>
      <w:r>
        <w:t>3.2 Electrical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IF-PWR-001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supply 28 VDC (MIL-STD-1275E) to each canister cell through umbilical connector J1.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SRS-PWR-002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IF-PWR-003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current drawn by one AUR from the launcher supply shall not exceed 12 A continuous in any pre-launch state, including IMU run-up and thermal conditioning.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SRS-PWR-002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IF-PWR-004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Inrush current at power application shall not exceed 20 A for more than 50 ms.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IF-PWR-003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IF-CON-005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Umbilical connector J1 shall be MIL-DTL-38999 Series III, shell size 25, 61 contacts; pin allocation per Table 3.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3.3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IF-DAT-001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between the Launcher Control Unit and the AUR shall be exchanged over a dual-redundant MIL-STD-1553B bus (Bus A / Bus B). The LCU shall be bus controller; the interceptor shall be remote terminal RT 05.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IF-DAT-004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message set shall be as defined in Table 4: PTL (Prepare-to-Launch), STS (status), ALN (transfer alignment), TGT (pre-launch target data), LCH (launch) and ABT (abort).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IF-DAT-001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IF-NAV-006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Pre-launch target data (message TGT) shall be expressed in WGS-84 ECEF coordinates per SRS-NAV-002.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SRS-NAV-002</w:t>
            </w:r>
          </w:p>
        </w:tc>
      </w:tr>
    </w:tbl>
    <w:p>
      <w:pPr>
        <w:spacing w:after="40"/>
      </w:pPr>
    </w:p>
    <w:p>
      <w:pPr>
        <w:pStyle w:val="Heading2"/>
      </w:pPr>
      <w:r>
        <w:t>3.4 Sequencing and timing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IF-SEQ-006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report READY (message STS, bit 0) within 3.0 s of receiving PTL.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IF-SEQ-007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not issue LCH before READY. If READY is not received within 3.5 s of PTL, the LCU shall declare HANG-FIRE and select the next canister.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SRS-SAF-002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IF-TIM-010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LCU shall distribute system time to the AUR by 1553B time-tag message plus a 1 PPS discrete; the interceptor shall align its time reference within ±1 µs.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SRS-TIM-001</w:t>
            </w:r>
          </w:p>
        </w:tc>
      </w:tr>
    </w:tbl>
    <w:p>
      <w:pPr>
        <w:spacing w:after="40"/>
      </w:pPr>
    </w:p>
    <w:p>
      <w:pPr>
        <w:pStyle w:val="Heading1"/>
      </w:pPr>
      <w:r>
        <w:t>4. Notes</w:t>
      </w:r>
    </w:p>
    <w:p>
      <w:r>
        <w:t>Table 3 (pin allocation) and Table 4 (message formats) are maintained in the interface database IFDB-A3, export of 01 July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A3-ICD-110  Rev C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