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</w:pPr>
      <w:r>
        <w:rPr>
          <w:b/>
          <w:caps/>
          <w:color w:val="3E5C7A"/>
          <w:sz w:val="24"/>
        </w:rPr>
        <w:t>ARROW 3 WEAPON SYSTEM</w:t>
      </w:r>
    </w:p>
    <w:p>
      <w:r>
        <w:rPr>
          <w:b/>
          <w:color w:val="0B2A4A"/>
          <w:sz w:val="52"/>
        </w:rPr>
        <w:t>System Requirements Specification</w:t>
      </w:r>
    </w:p>
    <w:p>
      <w:pPr>
        <w:spacing w:after="560"/>
      </w:pPr>
      <w:r>
        <w:rPr>
          <w:color w:val="5F6B7A"/>
          <w:sz w:val="26"/>
        </w:rPr>
        <w:t>Arrow 3 Weapon System (AWS-3) — top-level requirements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030"/>
      </w:tblGrid>
      <w:tr>
        <w:tc>
          <w:tcPr>
            <w:tcW w:type="dxa" w:w="2381"/>
            <w:shd w:val="clear" w:color="auto" w:fill="E4ECF4"/>
          </w:tcPr>
          <w:p>
            <w:pPr>
              <w:spacing w:after="0"/>
            </w:pPr>
            <w:r/>
            <w:r>
              <w:rPr>
                <w:b/>
                <w:color w:val="0B2A4A"/>
                <w:sz w:val="18"/>
              </w:rPr>
              <w:t>Document number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A3-SRS-001</w:t>
            </w:r>
          </w:p>
        </w:tc>
      </w:tr>
      <w:tr>
        <w:tc>
          <w:tcPr>
            <w:tcW w:type="dxa" w:w="2381"/>
            <w:shd w:val="clear" w:color="auto" w:fill="E4ECF4"/>
          </w:tcPr>
          <w:p>
            <w:pPr>
              <w:spacing w:after="0"/>
            </w:pPr>
            <w:r/>
            <w:r>
              <w:rPr>
                <w:b/>
                <w:color w:val="0B2A4A"/>
                <w:sz w:val="18"/>
              </w:rPr>
              <w:t>Revision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</w:t>
            </w:r>
          </w:p>
        </w:tc>
      </w:tr>
      <w:tr>
        <w:tc>
          <w:tcPr>
            <w:tcW w:type="dxa" w:w="2381"/>
            <w:shd w:val="clear" w:color="auto" w:fill="E4ECF4"/>
          </w:tcPr>
          <w:p>
            <w:pPr>
              <w:spacing w:after="0"/>
            </w:pPr>
            <w:r/>
            <w:r>
              <w:rPr>
                <w:b/>
                <w:color w:val="0B2A4A"/>
                <w:sz w:val="18"/>
              </w:rPr>
              <w:t>Date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14 June 2026</w:t>
            </w:r>
          </w:p>
        </w:tc>
      </w:tr>
      <w:tr>
        <w:tc>
          <w:tcPr>
            <w:tcW w:type="dxa" w:w="2381"/>
            <w:shd w:val="clear" w:color="auto" w:fill="E4ECF4"/>
          </w:tcPr>
          <w:p>
            <w:pPr>
              <w:spacing w:after="0"/>
            </w:pPr>
            <w:r/>
            <w:r>
              <w:rPr>
                <w:b/>
                <w:color w:val="0B2A4A"/>
                <w:sz w:val="18"/>
              </w:rPr>
              <w:t>Status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Baselined (SRR action items closed)</w:t>
            </w:r>
          </w:p>
        </w:tc>
      </w:tr>
      <w:tr>
        <w:tc>
          <w:tcPr>
            <w:tcW w:type="dxa" w:w="2381"/>
            <w:shd w:val="clear" w:color="auto" w:fill="E4ECF4"/>
          </w:tcPr>
          <w:p>
            <w:pPr>
              <w:spacing w:after="0"/>
            </w:pPr>
            <w:r/>
            <w:r>
              <w:rPr>
                <w:b/>
                <w:color w:val="0B2A4A"/>
                <w:sz w:val="18"/>
              </w:rPr>
              <w:t>Prepared by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Weapon System Engineering Directorate</w:t>
            </w:r>
          </w:p>
        </w:tc>
      </w:tr>
      <w:tr>
        <w:tc>
          <w:tcPr>
            <w:tcW w:type="dxa" w:w="2381"/>
            <w:shd w:val="clear" w:color="auto" w:fill="E4ECF4"/>
          </w:tcPr>
          <w:p>
            <w:pPr>
              <w:spacing w:after="0"/>
            </w:pPr>
            <w:r/>
            <w:r>
              <w:rPr>
                <w:b/>
                <w:color w:val="0B2A4A"/>
                <w:sz w:val="18"/>
              </w:rPr>
              <w:t>Classification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UNCLASSIFIED // FICTITIOUS DEMONSTRATION DATA</w:t>
            </w:r>
          </w:p>
        </w:tc>
      </w:tr>
    </w:tbl>
    <w:p>
      <w:pPr>
        <w:spacing w:after="360"/>
      </w:pPr>
    </w:p>
    <w:p>
      <w:r>
        <w:rPr>
          <w:b/>
          <w:color w:val="0B2A4A"/>
          <w:sz w:val="20"/>
        </w:rPr>
        <w:t>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1474"/>
        <w:gridCol w:w="5443"/>
        <w:gridCol w:w="1701"/>
      </w:tblGrid>
      <w:tr>
        <w:tc>
          <w:tcPr>
            <w:tcW w:type="dxa" w:w="794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Rev</w:t>
            </w:r>
          </w:p>
        </w:tc>
        <w:tc>
          <w:tcPr>
            <w:tcW w:type="dxa" w:w="1474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Date</w:t>
            </w:r>
          </w:p>
        </w:tc>
        <w:tc>
          <w:tcPr>
            <w:tcW w:type="dxa" w:w="5443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1701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CCB ref.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b/>
                <w:sz w:val="17"/>
              </w:rPr>
              <w:t>A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02 Feb 2025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Initial release for System Requirements Review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CCB-25-004</w:t>
            </w:r>
          </w:p>
        </w:tc>
      </w:tr>
      <w:tr>
        <w:tc>
          <w:tcPr>
            <w:tcW w:type="dxa" w:w="794"/>
            <w:shd w:val="clear" w:color="auto" w:fill="EEF3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B</w:t>
            </w:r>
          </w:p>
        </w:tc>
        <w:tc>
          <w:tcPr>
            <w:tcW w:type="dxa" w:w="1474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19 Sep 2025</w:t>
            </w:r>
          </w:p>
        </w:tc>
        <w:tc>
          <w:tcPr>
            <w:tcW w:type="dxa" w:w="5443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Timeline allocation added (SRS-TL-002); RAM figures updated</w:t>
            </w:r>
          </w:p>
        </w:tc>
        <w:tc>
          <w:tcPr>
            <w:tcW w:type="dxa" w:w="1701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CCB-25-031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14 Jun 2026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Time-sync and reference-frame requirements made mandatory for all segments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CCB-26-017</w:t>
            </w:r>
          </w:p>
        </w:tc>
      </w:tr>
    </w:tbl>
    <w:p>
      <w:pPr>
        <w:spacing w:after="40"/>
      </w:pPr>
    </w:p>
    <w:p>
      <w:r>
        <w:rPr>
          <w:b/>
          <w:color w:val="0B2A4A"/>
          <w:sz w:val="20"/>
        </w:rPr>
        <w:t>Approvals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2835"/>
        <w:gridCol w:w="2041"/>
        <w:gridCol w:w="1928"/>
      </w:tblGrid>
      <w:tr>
        <w:tc>
          <w:tcPr>
            <w:tcW w:type="dxa" w:w="2608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type="dxa" w:w="2835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Organisation</w:t>
            </w:r>
          </w:p>
        </w:tc>
        <w:tc>
          <w:tcPr>
            <w:tcW w:type="dxa" w:w="2041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Signature</w:t>
            </w:r>
          </w:p>
        </w:tc>
        <w:tc>
          <w:tcPr>
            <w:tcW w:type="dxa" w:w="1928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Date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Chief Systems Engineer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Weapon System Engineering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e-signed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14 Jun 2026</w:t>
            </w:r>
          </w:p>
        </w:tc>
      </w:tr>
      <w:tr>
        <w:tc>
          <w:tcPr>
            <w:tcW w:type="dxa" w:w="2608"/>
            <w:shd w:val="clear" w:color="auto" w:fill="EEF3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Program Manager</w:t>
            </w:r>
          </w:p>
        </w:tc>
        <w:tc>
          <w:tcPr>
            <w:tcW w:type="dxa" w:w="2835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Program Office</w:t>
            </w:r>
          </w:p>
        </w:tc>
        <w:tc>
          <w:tcPr>
            <w:tcW w:type="dxa" w:w="2041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e-signed</w:t>
            </w:r>
          </w:p>
        </w:tc>
        <w:tc>
          <w:tcPr>
            <w:tcW w:type="dxa" w:w="1928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15 Jun 2026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Quality Assurance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Product Assurance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e-signed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15 Jun 2026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Scope</w:t>
      </w:r>
    </w:p>
    <w:p>
      <w:r>
        <w:t>This System Requirements Specification (SRS) establishes the functional, interface, environmental, reliability and safety requirements of the Arrow 3 Weapon System (AWS-3), an exo-atmospheric ballistic missile defence system. It is the parent document of all segment specifications and interface control documents listed in Section 2.</w:t>
      </w:r>
    </w:p>
    <w:p>
      <w:r>
        <w:rPr>
          <w:i/>
          <w:color w:val="5F6B7A"/>
        </w:rPr>
        <w:t>Kill-chain performance values (detection, engagement envelope and probability figures) are contained in the classified annex A3-SRS-001-CA and are not reproduced in this document.</w:t>
      </w:r>
    </w:p>
    <w:p>
      <w:pPr>
        <w:pStyle w:val="Heading2"/>
      </w:pPr>
      <w:r>
        <w:t>1.1 System overview</w:t>
      </w:r>
    </w:p>
    <w:p>
      <w:r>
        <w:t>AWS-3 comprises five segments, each specified in its own segment specification:</w:t>
      </w:r>
    </w:p>
    <w:p>
      <w:pPr>
        <w:pStyle w:val="ListBullet"/>
      </w:pPr>
      <w:r>
        <w:t>Interceptor Segment (INT) — two-stage interceptor with an exo-atmospheric kill vehicle, delivered as an all-up round in a sealed canister.</w:t>
      </w:r>
    </w:p>
    <w:p>
      <w:pPr>
        <w:pStyle w:val="ListBullet"/>
      </w:pPr>
      <w:r>
        <w:t>Launcher Segment (LCH) — road-mobile launchers, six canister cells each, with a Launcher Control Unit (LCU).</w:t>
      </w:r>
    </w:p>
    <w:p>
      <w:pPr>
        <w:pStyle w:val="ListBullet"/>
      </w:pPr>
      <w:r>
        <w:t>Fire Control Radar Segment (FCR) — long-range surveillance and fire-control radar.</w:t>
      </w:r>
    </w:p>
    <w:p>
      <w:pPr>
        <w:pStyle w:val="ListBullet"/>
      </w:pPr>
      <w:r>
        <w:t>Battle Management Center (BMC) — engagement planning, weapon assignment and in-flight target updates.</w:t>
      </w:r>
    </w:p>
    <w:p>
      <w:pPr>
        <w:pStyle w:val="ListBullet"/>
      </w:pPr>
      <w:r>
        <w:t>Communications Segment (COM) — tactical data network linking all segments.</w:t>
      </w:r>
    </w:p>
    <w:p>
      <w:pPr>
        <w:pStyle w:val="Heading1"/>
      </w:pPr>
      <w:r>
        <w:t>2. Applicable documents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236"/>
        <w:gridCol w:w="907"/>
      </w:tblGrid>
      <w:tr>
        <w:tc>
          <w:tcPr>
            <w:tcW w:type="dxa" w:w="2268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Document</w:t>
            </w:r>
          </w:p>
        </w:tc>
        <w:tc>
          <w:tcPr>
            <w:tcW w:type="dxa" w:w="6236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Title</w:t>
            </w:r>
          </w:p>
        </w:tc>
        <w:tc>
          <w:tcPr>
            <w:tcW w:type="dxa" w:w="907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Rev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A3-ICD-110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Interceptor–Launcher Interface Control Document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</w:t>
            </w:r>
          </w:p>
        </w:tc>
      </w:tr>
      <w:tr>
        <w:tc>
          <w:tcPr>
            <w:tcW w:type="dxa" w:w="2268"/>
            <w:shd w:val="clear" w:color="auto" w:fill="EEF3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A3-ICD-120</w:t>
            </w:r>
          </w:p>
        </w:tc>
        <w:tc>
          <w:tcPr>
            <w:tcW w:type="dxa" w:w="6236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BMC–FCR–Launcher Data Interface Control Document</w:t>
            </w:r>
          </w:p>
        </w:tc>
        <w:tc>
          <w:tcPr>
            <w:tcW w:type="dxa" w:w="907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A3-LCH-SSS-040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Launcher Segment Specification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</w:t>
            </w:r>
          </w:p>
        </w:tc>
      </w:tr>
      <w:tr>
        <w:tc>
          <w:tcPr>
            <w:tcW w:type="dxa" w:w="2268"/>
            <w:shd w:val="clear" w:color="auto" w:fill="EEF3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A3-FCR-SSS-020</w:t>
            </w:r>
          </w:p>
        </w:tc>
        <w:tc>
          <w:tcPr>
            <w:tcW w:type="dxa" w:w="6236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Fire Control Radar Segment Specification</w:t>
            </w:r>
          </w:p>
        </w:tc>
        <w:tc>
          <w:tcPr>
            <w:tcW w:type="dxa" w:w="907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A3-BMC-SSS-030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Battle Management Center Specification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</w:t>
            </w:r>
          </w:p>
        </w:tc>
      </w:tr>
      <w:tr>
        <w:tc>
          <w:tcPr>
            <w:tcW w:type="dxa" w:w="2268"/>
            <w:shd w:val="clear" w:color="auto" w:fill="EEF3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A3-ENV-050</w:t>
            </w:r>
          </w:p>
        </w:tc>
        <w:tc>
          <w:tcPr>
            <w:tcW w:type="dxa" w:w="6236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Environmental and RAM Requirements</w:t>
            </w:r>
          </w:p>
        </w:tc>
        <w:tc>
          <w:tcPr>
            <w:tcW w:type="dxa" w:w="907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MIL-STD-1275E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Characteristics of 28 Volt DC Electrical Systems in Military Vehicles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</w:t>
            </w:r>
          </w:p>
        </w:tc>
      </w:tr>
      <w:tr>
        <w:tc>
          <w:tcPr>
            <w:tcW w:type="dxa" w:w="2268"/>
            <w:shd w:val="clear" w:color="auto" w:fill="EEF3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MIL-STD-461G</w:t>
            </w:r>
          </w:p>
        </w:tc>
        <w:tc>
          <w:tcPr>
            <w:tcW w:type="dxa" w:w="6236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Control of Electromagnetic Interference Characteristics</w:t>
            </w:r>
          </w:p>
        </w:tc>
        <w:tc>
          <w:tcPr>
            <w:tcW w:type="dxa" w:w="907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MIL-STD-810H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Environmental Engineering Considerations and Laboratory Tests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</w:t>
            </w:r>
          </w:p>
        </w:tc>
      </w:tr>
      <w:tr>
        <w:tc>
          <w:tcPr>
            <w:tcW w:type="dxa" w:w="2268"/>
            <w:shd w:val="clear" w:color="auto" w:fill="EEF3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MIL-STD-882E</w:t>
            </w:r>
          </w:p>
        </w:tc>
        <w:tc>
          <w:tcPr>
            <w:tcW w:type="dxa" w:w="6236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System Safety</w:t>
            </w:r>
          </w:p>
        </w:tc>
        <w:tc>
          <w:tcPr>
            <w:tcW w:type="dxa" w:w="907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NGA.STND.0036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World Geodetic System 1984 (WGS-84)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1.0.0</w:t>
            </w:r>
          </w:p>
        </w:tc>
      </w:tr>
    </w:tbl>
    <w:p>
      <w:pPr>
        <w:spacing w:after="40"/>
      </w:pPr>
    </w:p>
    <w:p>
      <w:pPr>
        <w:pStyle w:val="Heading1"/>
      </w:pPr>
      <w:r>
        <w:t>3. Requirements</w:t>
      </w:r>
    </w:p>
    <w:p>
      <w:r>
        <w:rPr>
          <w:i/>
          <w:color w:val="5F6B7A"/>
        </w:rPr>
        <w:t>Verification methods: A = Analysis, I = Inspection, D = Demonstration, T = Test.</w:t>
      </w:r>
    </w:p>
    <w:p>
      <w:pPr>
        <w:pStyle w:val="Heading2"/>
      </w:pPr>
      <w:r>
        <w:t>3.1 Engagement timeline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5783"/>
        <w:gridCol w:w="794"/>
        <w:gridCol w:w="1361"/>
      </w:tblGrid>
      <w:tr>
        <w:tc>
          <w:tcPr>
            <w:tcW w:type="dxa" w:w="1474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Req. ID</w:t>
            </w:r>
          </w:p>
        </w:tc>
        <w:tc>
          <w:tcPr>
            <w:tcW w:type="dxa" w:w="5783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794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Verif.</w:t>
            </w:r>
          </w:p>
        </w:tc>
        <w:tc>
          <w:tcPr>
            <w:tcW w:type="dxa" w:w="1361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Parent / trace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b/>
                <w:sz w:val="17"/>
              </w:rPr>
              <w:t>SRS-TL-001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The weapon system shall launch the first interceptor within 8.0 s of the engagement order issued by the BMC operator (system reaction time).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Mission need MN-04</w:t>
            </w:r>
          </w:p>
        </w:tc>
      </w:tr>
      <w:tr>
        <w:tc>
          <w:tcPr>
            <w:tcW w:type="dxa" w:w="1474"/>
            <w:shd w:val="clear" w:color="auto" w:fill="EEF3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SRS-TL-002</w:t>
            </w:r>
          </w:p>
        </w:tc>
        <w:tc>
          <w:tcPr>
            <w:tcW w:type="dxa" w:w="5783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The system reaction time of SRS-TL-001 shall be allocated sequentially: BMC engagement planning (operator order to engagement command at the launcher) ≤ 2.0 s; launcher preparation (engagement command to PTL issued) ≤ 3.0 s; interceptor pre-launch preparation (PTL received to READY reported) ≤ 3.0 s. The launcher issues LCH on READY.</w:t>
            </w:r>
          </w:p>
        </w:tc>
        <w:tc>
          <w:tcPr>
            <w:tcW w:type="dxa" w:w="794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</w:t>
            </w:r>
          </w:p>
        </w:tc>
        <w:tc>
          <w:tcPr>
            <w:tcW w:type="dxa" w:w="1361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SRS-TL-001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b/>
                <w:sz w:val="17"/>
              </w:rPr>
              <w:t>SRS-TL-003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The system shall support simultaneous engagement of multiple threats; the number of simultaneous engagements is specified in A3-SRS-001-CA.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Mission need MN-05</w:t>
            </w:r>
          </w:p>
        </w:tc>
      </w:tr>
    </w:tbl>
    <w:p>
      <w:pPr>
        <w:spacing w:after="40"/>
      </w:pPr>
    </w:p>
    <w:p>
      <w:pPr>
        <w:pStyle w:val="Heading2"/>
      </w:pPr>
      <w:r>
        <w:t>3.2 Time and reference frames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5783"/>
        <w:gridCol w:w="794"/>
        <w:gridCol w:w="1361"/>
      </w:tblGrid>
      <w:tr>
        <w:tc>
          <w:tcPr>
            <w:tcW w:type="dxa" w:w="1474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Req. ID</w:t>
            </w:r>
          </w:p>
        </w:tc>
        <w:tc>
          <w:tcPr>
            <w:tcW w:type="dxa" w:w="5783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794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Verif.</w:t>
            </w:r>
          </w:p>
        </w:tc>
        <w:tc>
          <w:tcPr>
            <w:tcW w:type="dxa" w:w="1361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Parent / trace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b/>
                <w:sz w:val="17"/>
              </w:rPr>
              <w:t>SRS-TIM-001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All segments shall maintain a common system time, disciplined to GPS by the BMC master clock, synchronised within ±1 µs of the master clock.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SRS-TL-001</w:t>
            </w:r>
          </w:p>
        </w:tc>
      </w:tr>
      <w:tr>
        <w:tc>
          <w:tcPr>
            <w:tcW w:type="dxa" w:w="1474"/>
            <w:shd w:val="clear" w:color="auto" w:fill="EEF3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SRS-NAV-002</w:t>
            </w:r>
          </w:p>
        </w:tc>
        <w:tc>
          <w:tcPr>
            <w:tcW w:type="dxa" w:w="5783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All target state vectors and launch parameters exchanged between segments shall be expressed in WGS-84 Earth-Centred, Earth-Fixed (ECEF) coordinates, in metres and metres per second.</w:t>
            </w:r>
          </w:p>
        </w:tc>
        <w:tc>
          <w:tcPr>
            <w:tcW w:type="dxa" w:w="794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</w:t>
            </w:r>
          </w:p>
        </w:tc>
        <w:tc>
          <w:tcPr>
            <w:tcW w:type="dxa" w:w="1361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NGA.STND.0036</w:t>
            </w:r>
          </w:p>
        </w:tc>
      </w:tr>
    </w:tbl>
    <w:p>
      <w:pPr>
        <w:spacing w:after="40"/>
      </w:pPr>
    </w:p>
    <w:p>
      <w:pPr>
        <w:pStyle w:val="Heading2"/>
      </w:pPr>
      <w:r>
        <w:t>3.3 Electrical power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5783"/>
        <w:gridCol w:w="794"/>
        <w:gridCol w:w="1361"/>
      </w:tblGrid>
      <w:tr>
        <w:tc>
          <w:tcPr>
            <w:tcW w:type="dxa" w:w="1474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Req. ID</w:t>
            </w:r>
          </w:p>
        </w:tc>
        <w:tc>
          <w:tcPr>
            <w:tcW w:type="dxa" w:w="5783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794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Verif.</w:t>
            </w:r>
          </w:p>
        </w:tc>
        <w:tc>
          <w:tcPr>
            <w:tcW w:type="dxa" w:w="1361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Parent / trace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b/>
                <w:sz w:val="17"/>
              </w:rPr>
              <w:t>SRS-PWR-001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Field equipment shall operate from 28 VDC power with the characteristics of MIL-STD-1275E.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1474"/>
            <w:shd w:val="clear" w:color="auto" w:fill="EEF3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SRS-PWR-002</w:t>
            </w:r>
          </w:p>
        </w:tc>
        <w:tc>
          <w:tcPr>
            <w:tcW w:type="dxa" w:w="5783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The launcher shall supply all interceptor pre-launch power through the umbilical defined in A3-ICD-110; the interceptor shall not draw more than the per-canister allocation of A3-ICD-110.</w:t>
            </w:r>
          </w:p>
        </w:tc>
        <w:tc>
          <w:tcPr>
            <w:tcW w:type="dxa" w:w="794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</w:t>
            </w:r>
          </w:p>
        </w:tc>
        <w:tc>
          <w:tcPr>
            <w:tcW w:type="dxa" w:w="1361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SRS-PWR-001</w:t>
            </w:r>
          </w:p>
        </w:tc>
      </w:tr>
    </w:tbl>
    <w:p>
      <w:pPr>
        <w:spacing w:after="40"/>
      </w:pPr>
    </w:p>
    <w:p>
      <w:pPr>
        <w:pStyle w:val="Heading2"/>
      </w:pPr>
      <w:r>
        <w:t>3.4 Interfaces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5783"/>
        <w:gridCol w:w="794"/>
        <w:gridCol w:w="1361"/>
      </w:tblGrid>
      <w:tr>
        <w:tc>
          <w:tcPr>
            <w:tcW w:type="dxa" w:w="1474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Req. ID</w:t>
            </w:r>
          </w:p>
        </w:tc>
        <w:tc>
          <w:tcPr>
            <w:tcW w:type="dxa" w:w="5783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794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Verif.</w:t>
            </w:r>
          </w:p>
        </w:tc>
        <w:tc>
          <w:tcPr>
            <w:tcW w:type="dxa" w:w="1361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Parent / trace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b/>
                <w:sz w:val="17"/>
              </w:rPr>
              <w:t>SRS-IF-001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The interceptor–launcher interface shall conform to A3-ICD-110 Rev C.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1474"/>
            <w:shd w:val="clear" w:color="auto" w:fill="EEF3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SRS-IF-002</w:t>
            </w:r>
          </w:p>
        </w:tc>
        <w:tc>
          <w:tcPr>
            <w:tcW w:type="dxa" w:w="5783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Data interfaces between BMC, FCR and launchers shall conform to A3-ICD-120 Rev C.</w:t>
            </w:r>
          </w:p>
        </w:tc>
        <w:tc>
          <w:tcPr>
            <w:tcW w:type="dxa" w:w="794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</w:t>
            </w:r>
          </w:p>
        </w:tc>
        <w:tc>
          <w:tcPr>
            <w:tcW w:type="dxa" w:w="1361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b/>
                <w:sz w:val="17"/>
              </w:rPr>
              <w:t>SRS-IF-003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All tactical messages shall be authenticated; encryption per the program cryptographic plan.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Security CONOPS</w:t>
            </w:r>
          </w:p>
        </w:tc>
      </w:tr>
    </w:tbl>
    <w:p>
      <w:pPr>
        <w:spacing w:after="40"/>
      </w:pPr>
    </w:p>
    <w:p>
      <w:pPr>
        <w:pStyle w:val="Heading2"/>
      </w:pPr>
      <w:r>
        <w:t>3.5 Environment and EMC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5783"/>
        <w:gridCol w:w="794"/>
        <w:gridCol w:w="1361"/>
      </w:tblGrid>
      <w:tr>
        <w:tc>
          <w:tcPr>
            <w:tcW w:type="dxa" w:w="1474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Req. ID</w:t>
            </w:r>
          </w:p>
        </w:tc>
        <w:tc>
          <w:tcPr>
            <w:tcW w:type="dxa" w:w="5783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794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Verif.</w:t>
            </w:r>
          </w:p>
        </w:tc>
        <w:tc>
          <w:tcPr>
            <w:tcW w:type="dxa" w:w="1361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Parent / trace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b/>
                <w:sz w:val="17"/>
              </w:rPr>
              <w:t>SRS-ENV-001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All field-deployed equipment shall meet the environmental requirements of A3-ENV-050 Rev B.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1474"/>
            <w:shd w:val="clear" w:color="auto" w:fill="EEF3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SRS-ENV-002</w:t>
            </w:r>
          </w:p>
        </w:tc>
        <w:tc>
          <w:tcPr>
            <w:tcW w:type="dxa" w:w="5783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All field-deployed equipment shall operate at ambient temperatures from −33 °C to +55 °C, with solar loading per MIL-STD-810H Method 505.7.</w:t>
            </w:r>
          </w:p>
        </w:tc>
        <w:tc>
          <w:tcPr>
            <w:tcW w:type="dxa" w:w="794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</w:t>
            </w:r>
          </w:p>
        </w:tc>
        <w:tc>
          <w:tcPr>
            <w:tcW w:type="dxa" w:w="1361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SRS-ENV-001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b/>
                <w:sz w:val="17"/>
              </w:rPr>
              <w:t>SRS-EMC-001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All segments shall meet MIL-STD-461G, tailored per A3-ENV-050 Rev B.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—</w:t>
            </w:r>
          </w:p>
        </w:tc>
      </w:tr>
    </w:tbl>
    <w:p>
      <w:pPr>
        <w:spacing w:after="40"/>
      </w:pPr>
    </w:p>
    <w:p>
      <w:pPr>
        <w:pStyle w:val="Heading2"/>
      </w:pPr>
      <w:r>
        <w:t>3.6 Reliability, availability and maintainability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5783"/>
        <w:gridCol w:w="794"/>
        <w:gridCol w:w="1361"/>
      </w:tblGrid>
      <w:tr>
        <w:tc>
          <w:tcPr>
            <w:tcW w:type="dxa" w:w="1474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Req. ID</w:t>
            </w:r>
          </w:p>
        </w:tc>
        <w:tc>
          <w:tcPr>
            <w:tcW w:type="dxa" w:w="5783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794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Verif.</w:t>
            </w:r>
          </w:p>
        </w:tc>
        <w:tc>
          <w:tcPr>
            <w:tcW w:type="dxa" w:w="1361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Parent / trace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b/>
                <w:sz w:val="17"/>
              </w:rPr>
              <w:t>SRS-RAM-001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The weapon system operational availability (Ao) shall be at least 0.95.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1474"/>
            <w:shd w:val="clear" w:color="auto" w:fill="EEF3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SRS-RAM-004</w:t>
            </w:r>
          </w:p>
        </w:tc>
        <w:tc>
          <w:tcPr>
            <w:tcW w:type="dxa" w:w="5783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Segment reliability allocations shall be as defined in A3-ENV-050 Rev B, Section 4.</w:t>
            </w:r>
          </w:p>
        </w:tc>
        <w:tc>
          <w:tcPr>
            <w:tcW w:type="dxa" w:w="794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</w:t>
            </w:r>
          </w:p>
        </w:tc>
        <w:tc>
          <w:tcPr>
            <w:tcW w:type="dxa" w:w="1361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SRS-RAM-001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b/>
                <w:sz w:val="17"/>
              </w:rPr>
              <w:t>SRS-RAM-010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The interceptor shall have a storage life of at least 15 years in its sealed canister, with periodic built-in test only.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Logistics concept</w:t>
            </w:r>
          </w:p>
        </w:tc>
      </w:tr>
    </w:tbl>
    <w:p>
      <w:pPr>
        <w:spacing w:after="40"/>
      </w:pPr>
    </w:p>
    <w:p>
      <w:pPr>
        <w:pStyle w:val="Heading2"/>
      </w:pPr>
      <w:r>
        <w:t>3.7 Safety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5783"/>
        <w:gridCol w:w="794"/>
        <w:gridCol w:w="1361"/>
      </w:tblGrid>
      <w:tr>
        <w:tc>
          <w:tcPr>
            <w:tcW w:type="dxa" w:w="1474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Req. ID</w:t>
            </w:r>
          </w:p>
        </w:tc>
        <w:tc>
          <w:tcPr>
            <w:tcW w:type="dxa" w:w="5783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794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Verif.</w:t>
            </w:r>
          </w:p>
        </w:tc>
        <w:tc>
          <w:tcPr>
            <w:tcW w:type="dxa" w:w="1361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Parent / trace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b/>
                <w:sz w:val="17"/>
              </w:rPr>
              <w:t>SRS-SAF-001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 system safety program shall be conducted per MIL-STD-882E.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1474"/>
            <w:shd w:val="clear" w:color="auto" w:fill="EEF3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SRS-SAF-002</w:t>
            </w:r>
          </w:p>
        </w:tc>
        <w:tc>
          <w:tcPr>
            <w:tcW w:type="dxa" w:w="5783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Rocket motor ignition shall require at least two independent inhibits to be removed, one of which is controlled by the launcher.</w:t>
            </w:r>
          </w:p>
        </w:tc>
        <w:tc>
          <w:tcPr>
            <w:tcW w:type="dxa" w:w="794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</w:t>
            </w:r>
          </w:p>
        </w:tc>
        <w:tc>
          <w:tcPr>
            <w:tcW w:type="dxa" w:w="1361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SRS-SAF-001</w:t>
            </w:r>
          </w:p>
        </w:tc>
      </w:tr>
    </w:tbl>
    <w:p>
      <w:pPr>
        <w:spacing w:after="40"/>
      </w:pPr>
    </w:p>
    <w:p>
      <w:pPr>
        <w:pStyle w:val="Heading1"/>
      </w:pPr>
      <w:r>
        <w:t>4. Notes</w:t>
      </w:r>
    </w:p>
    <w:p>
      <w:r>
        <w:t>Open items: SRS-TL-003 values are TBR pending the threat assessment update (action SRR-112).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710"/>
      </w:tblGrid>
      <w:tr>
        <w:tc>
          <w:tcPr>
            <w:tcW w:type="dxa" w:w="1701"/>
            <w:shd w:val="clear" w:color="auto" w:fill="3E5C7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Acronym</w:t>
            </w:r>
          </w:p>
        </w:tc>
        <w:tc>
          <w:tcPr>
            <w:tcW w:type="dxa" w:w="7710"/>
            <w:shd w:val="clear" w:color="auto" w:fill="3E5C7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AUR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All-up round (interceptor in its canister)</w:t>
            </w:r>
          </w:p>
        </w:tc>
      </w:tr>
      <w:tr>
        <w:tc>
          <w:tcPr>
            <w:tcW w:type="dxa" w:w="1701"/>
            <w:shd w:val="clear" w:color="auto" w:fill="EEF3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BMC</w:t>
            </w:r>
          </w:p>
        </w:tc>
        <w:tc>
          <w:tcPr>
            <w:tcW w:type="dxa" w:w="7710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Battle Management Center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CCB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Configuration Control Board</w:t>
            </w:r>
          </w:p>
        </w:tc>
      </w:tr>
      <w:tr>
        <w:tc>
          <w:tcPr>
            <w:tcW w:type="dxa" w:w="1701"/>
            <w:shd w:val="clear" w:color="auto" w:fill="EEF3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ECEF</w:t>
            </w:r>
          </w:p>
        </w:tc>
        <w:tc>
          <w:tcPr>
            <w:tcW w:type="dxa" w:w="7710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Earth-Centred, Earth-Fixed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FCR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Fire Control Radar</w:t>
            </w:r>
          </w:p>
        </w:tc>
      </w:tr>
      <w:tr>
        <w:tc>
          <w:tcPr>
            <w:tcW w:type="dxa" w:w="1701"/>
            <w:shd w:val="clear" w:color="auto" w:fill="EEF3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ICD</w:t>
            </w:r>
          </w:p>
        </w:tc>
        <w:tc>
          <w:tcPr>
            <w:tcW w:type="dxa" w:w="7710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Interface Control Document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IFTU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In-flight target update</w:t>
            </w:r>
          </w:p>
        </w:tc>
      </w:tr>
      <w:tr>
        <w:tc>
          <w:tcPr>
            <w:tcW w:type="dxa" w:w="1701"/>
            <w:shd w:val="clear" w:color="auto" w:fill="EEF3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LCU</w:t>
            </w:r>
          </w:p>
        </w:tc>
        <w:tc>
          <w:tcPr>
            <w:tcW w:type="dxa" w:w="7710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Launcher Control Unit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MTBF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Mean time between failures</w:t>
            </w:r>
          </w:p>
        </w:tc>
      </w:tr>
      <w:tr>
        <w:tc>
          <w:tcPr>
            <w:tcW w:type="dxa" w:w="1701"/>
            <w:shd w:val="clear" w:color="auto" w:fill="EEF3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PTL</w:t>
            </w:r>
          </w:p>
        </w:tc>
        <w:tc>
          <w:tcPr>
            <w:tcW w:type="dxa" w:w="7710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Prepare-to-Launch command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RT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Remote terminal (MIL-STD-1553B)</w:t>
            </w:r>
          </w:p>
        </w:tc>
      </w:tr>
      <w:tr>
        <w:tc>
          <w:tcPr>
            <w:tcW w:type="dxa" w:w="1701"/>
            <w:shd w:val="clear" w:color="auto" w:fill="EEF3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TBR</w:t>
            </w:r>
          </w:p>
        </w:tc>
        <w:tc>
          <w:tcPr>
            <w:tcW w:type="dxa" w:w="7710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To be reviewed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1361" w:right="1247" w:bottom="1247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B7A"/>
        <w:sz w:val="15"/>
      </w:rPr>
      <w:t xml:space="preserve">UNCLASSIFIED // FICTITIOUS DEMONSTRATION DATA   ·   Page </w:t>
    </w:r>
    <w:r>
      <w:rPr>
        <w:sz w:val="15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5F6B7A"/>
        <w:sz w:val="15"/>
      </w:rPr>
      <w:t xml:space="preserve"> of </w:t>
    </w:r>
    <w:r>
      <w:rPr>
        <w:sz w:val="15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B7A"/>
        <w:sz w:val="15"/>
      </w:rPr>
      <w:t>UNCLASSIFIED // FICTITIOUS DEMONSTRATION DATA</w:t>
      <w:br/>
      <w:t>Notional content generated for an EDK demonstration. Not an official program document.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4706"/>
      <w:gridCol w:w="4706"/>
    </w:tblGrid>
    <w:tr>
      <w:tc>
        <w:tcPr>
          <w:tcW w:type="dxa" w:w="4706"/>
        </w:tcPr>
        <w:p>
          <w:pPr>
            <w:spacing w:after="0"/>
          </w:pPr>
          <w:r>
            <w:rPr>
              <w:b/>
              <w:color w:val="0B2A4A"/>
              <w:sz w:val="16"/>
            </w:rPr>
            <w:t>ARROW 3 WEAPON SYSTEM</w:t>
          </w:r>
        </w:p>
      </w:tc>
      <w:tc>
        <w:tcPr>
          <w:tcW w:type="dxa" w:w="4706"/>
        </w:tcPr>
        <w:p>
          <w:pPr>
            <w:spacing w:after="0"/>
            <w:jc w:val="right"/>
          </w:pPr>
          <w:r>
            <w:rPr>
              <w:b w:val="0"/>
              <w:color w:val="5F6B7A"/>
              <w:sz w:val="16"/>
            </w:rPr>
            <w:t>A3-SRS-001  Rev C</w:t>
          </w:r>
        </w:p>
      </w:tc>
    </w:tr>
  </w:tbl>
  <w:p>
    <w:pPr>
      <w:pStyle w:val="Header"/>
      <w:spacing w:after="0"/>
    </w:pPr>
    <w:r>
      <w:rPr>
        <w:sz w:val="4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="Arial" w:hAnsi="Arial"/>
      <w:b/>
      <w:bCs/>
      <w:color w:val="0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="Arial" w:hAnsi="Arial"/>
      <w:b/>
      <w:bCs/>
      <w:color w:val="3E5C7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="Arial" w:hAnsi="Arial"/>
      <w:b/>
      <w:bCs/>
      <w:color w:val="3E5C7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