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Interceptor Segment Specification</w:t>
      </w:r>
    </w:p>
    <w:p>
      <w:pPr>
        <w:spacing w:after="560"/>
      </w:pPr>
      <w:r>
        <w:rPr>
          <w:color w:val="5F6B7A"/>
          <w:sz w:val="26"/>
        </w:rPr>
        <w:t>Two-stage interceptor and exo-atmospheric kill vehicle — draft for Preliminary Design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A3-INT-SSS-010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 October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PDR — submitted for consistency check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Interceptor Integrated Product Team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 Oct 2026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First issue for Preliminary Design Review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Interceptor Segment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 IPT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 Oct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specification defines the requirements of the Arrow 3 Interceptor Segment: the two-stage interceptor, the exo-atmospheric kill vehicle and the canister, delivered together as the all-up round (AUR).</w:t>
      </w:r>
    </w:p>
    <w:p>
      <w:r>
        <w:rPr>
          <w:i/>
          <w:color w:val="5F6B7A"/>
        </w:rPr>
        <w:t>Kinematic and lethality performance is specified in the classified annex A3-SRS-001-CA.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A3-ICD-110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Interceptor–Launcher Interface Control Document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A3-ICD-120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BMC–FCR–Launcher Data Interface Control Document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A3-ENV-050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and RAM Requirements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MIL-STD-461F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of Electromagnetic Interference Characteristics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MIL-STD-1275E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 VDC Electrical Systems in Military Vehicles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p>
      <w:pPr>
        <w:pStyle w:val="Heading2"/>
      </w:pPr>
      <w:r>
        <w:t>3.1 General and physical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INT-GEN-001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be a two-stage, solid-propellant vehicle carrying an exo-atmospheric hit-to-kill kill vehicle.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A3-SRS-001 §1.1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INT-PHY-002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mass of the all-up round, including the canister, shall not exceed 1,450 kg.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A3-ICD-110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INT-PHY-003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canister envelope shall conform to drawing A3-LCH-DWG-2210 Rev D.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IF-MEC-001</w:t>
            </w:r>
          </w:p>
        </w:tc>
      </w:tr>
    </w:tbl>
    <w:p>
      <w:pPr>
        <w:spacing w:after="40"/>
      </w:pPr>
    </w:p>
    <w:p>
      <w:pPr>
        <w:pStyle w:val="Heading2"/>
      </w:pPr>
      <w:r>
        <w:t>3.2 Electrical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INT-PWR-010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operate from launcher-supplied 28 VDC power with the characteristics of MIL-STD-1275E.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SRS-PWR-001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INT-PWR-012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During pre-launch (IMU run-up and thermal conditioning) the interceptor shall draw not more than 18 A continuous from the launcher supply.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SRS-PWR-002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INT-PWR-014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Internal thermal batteries shall be activated on receipt of the LCH command and shall power the interceptor for the whole flight.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3.3 Data and timing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INT-DAT-020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exchange pre-launch data with the launcher over a dual-redundant Gigabit Ethernet (1000BASE-T) link, the interceptor acting as server.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A3-ICD-110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INT-DAT-022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 messages shall be decoded per A3-ICD-120 Rev A.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A3-ICD-120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INT-TIM-031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report READY within 6.0 s of receiving the Prepare-to-Launch (PTL) command.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INT-TIM-035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time reference shall be synchronised to system time within ±10 µs.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SRS-TIM-001</w:t>
            </w:r>
          </w:p>
        </w:tc>
      </w:tr>
    </w:tbl>
    <w:p>
      <w:pPr>
        <w:spacing w:after="40"/>
      </w:pPr>
    </w:p>
    <w:p>
      <w:pPr>
        <w:pStyle w:val="Heading2"/>
      </w:pPr>
      <w:r>
        <w:t>3.4 Navigation and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INT-NAV-040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Pre-launch target data and in-flight target updates shall be received and processed in Earth-Centred Inertial coordinates (ECI, J2000 epoch).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SRS-NAV-002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INT-NAV-042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inertial measurement unit shall be aligned before launch by transfer alignment from the launcher (message ALN).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IF-DAT-004</w:t>
            </w:r>
          </w:p>
        </w:tc>
      </w:tr>
    </w:tbl>
    <w:p>
      <w:pPr>
        <w:spacing w:after="40"/>
      </w:pPr>
    </w:p>
    <w:p>
      <w:pPr>
        <w:pStyle w:val="Heading2"/>
      </w:pPr>
      <w:r>
        <w:t>3.5 Environment and EMC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INT-ENV-050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all-up round shall operate at ambient temperatures from −20 °C to +50 °C.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INT-ENV-052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Non-operating (storage and transport) temperature range shall be −40 °C to +71 °C.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ENV-TMP-002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INT-EMC-060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meet MIL-STD-461F requirements CE102, CS114, RE102 and RS103.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SRS-EMC-001</w:t>
            </w:r>
          </w:p>
        </w:tc>
      </w:tr>
    </w:tbl>
    <w:p>
      <w:pPr>
        <w:spacing w:after="40"/>
      </w:pPr>
    </w:p>
    <w:p>
      <w:pPr>
        <w:pStyle w:val="Heading2"/>
      </w:pPr>
      <w:r>
        <w:t>3.6 Reliability and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INT-RAM-070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captive-carry MTBF of the all-up round, powered on the launcher, shall be at least 1,500 h.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RAM-004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INT-RAM-072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have a storage life of at least 10 years in its sealed canister.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SRS-RAM-010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INT-SAF-080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Rocket motor ignition shall require two independent inhibits to be removed, one controlled by the launcher.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SRS-SAF-002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INT-CYB-090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messages received by the interceptor shall be authenticated before use.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SRS-IF-003</w:t>
            </w:r>
          </w:p>
        </w:tc>
      </w:tr>
    </w:tbl>
    <w:p>
      <w:pPr>
        <w:spacing w:after="40"/>
      </w:pPr>
    </w:p>
    <w:p>
      <w:pPr>
        <w:pStyle w:val="Heading1"/>
      </w:pPr>
      <w:r>
        <w:t>4. Notes</w:t>
      </w:r>
    </w:p>
    <w:p>
      <w:r>
        <w:t>This draft is submitted for the PDR data package. Segment-level changes since the concept phase: Ethernet replaces the legacy data bus to support faster alignment transfer; the guidance team prefers inertial coordinates for in-flight updates.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A3-INT-SSS-010  Rev A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