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Variables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 xml:space="preserve">Handling of influence </w:t>
              <w:br/>
              <w:t xml:space="preserve"> (How/If not —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 xml:space="preserve">Handling of influence </w:t>
              <w:br/>
              <w:t xml:space="preserve"> (How/If not —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Temperature gradients are the driving force for heat transport. Thermal conductivity and heat capacity are temperature dependent.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Heat transport neglected (see Section 2.1.7).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Site-specific temperature and thermal properties. Dependence of thermal properties on T accounted for in dimensioning calculations. Otherwise thermal properties for constant 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Output from calculations.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Output from calculations, see also Section 2.2 Freezing and Climate report.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See Section 3.1 Groundwater flow.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Influence of convection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Heat transport neglected (see Section 2.1.7).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Heat transport neglected (see Section 2.1.7).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See Section 3.2 Gas flow/dissolution.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Affects heat flux from repository. Canister spacing particularly important in the near field.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Included in model.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Included in permafrost model (Climate report).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rock stresses and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See mechanical processes in Chapter 4.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Determines thermal properties.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Use of site-specific thermal properties.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Use of site-specific thermal properties in permafrost model,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Marginally and locally.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 and groundwater composition.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See chemical processes in Chapter 5.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Influence neglected; little significance,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</w:tr>
      <w:tr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Affects scope and extent of convective heat transport.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But,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</w:tr>
      <w:tr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Affects scope and extent of convective heat transport.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Influence neglected; little significance.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But,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</w:tr>
      <w:tr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Affects scope and extent of convective heat transport.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See Temperate above and Climate report.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But,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</w:tr>
      <w:tr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Affects scope and extent of convective heat transport.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See Temperate above and Climate report.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But,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nan</w:t>
            </w:r>
          </w:p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