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 xml:space="preserve">Handling of influence </w:t>
              <w:br/>
              <w:t xml:space="preserve"> (How/If not —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 xml:space="preserve">Handling of influence </w:t>
              <w:br/>
              <w:t xml:space="preserve"> (How/If not —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Temperature gradients are the driving force for heat transport. Thermal conductivity and heat capacity are temperature dependent.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Site-specific temperature and thermal properties. Dependence of thermal properties on T accounted for in dimensioning calculations. Otherwise thermal properties for constant 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Output from calculations.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Output from calculations, see also Section 2.2 Freezing and Climate report.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3.1 Groundwater flow.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of convection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Section 3.2 Gas flow/dissolution.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heat flux from repository. Canister spacing particularly important in the near field.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Included in model.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Included in permafrost model (Climate report).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rock stresses and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mechanical processes in Chapter 4.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Determines thermal properties.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Use of site-specific thermal properties.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Use of site-specific thermal properties in permafrost model,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Marginally and locally.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Heat transport neglected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 and groundwater composition.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chemical processes in Chapter 5.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Influence neglected; little significance,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0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nan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  <w:br/>
              <w:t>Affects scope and extent of convective heat transport.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Check that local deposition sequence-dependant pre-heating effects can be ignored and evaluate potential effects of tunnel ventilation (see Section 2.1.7).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  <w:br/>
              <w:t>But, indirectly through temperature.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Influence neglected; little significance.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See Temperate above and Climate report.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