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Site-specific temperature and thermal properties. Dependence of thermal properties on T accounted for in dimensioning calculations. Otherwise thermal properties for constant 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Output from calculations.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Output from calculations, see also Section 2.2 Freezing and Climate report.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of convection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3.2 Gas flow/dissolution.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Included in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permafrost model (Climate report).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Use of site-specific thermal properties.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Use of site-specific thermal properties in permafrost model,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