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from model calculations of heat transport (Section 2.1).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2D permafrost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2D permafrost model. See also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Continuum porous medium models adopted. Detailed fracture geometry neglected; low-porosity rocks.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 compared with other influences.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groundwater salinities in modelling studies.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2D permafrost modelling. See also Sections 5.12 and 3.2.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little significance.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assumptions made regarding grout properties in different applications, see Section 5.8.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saturated conditions in the bedrock is assumed.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saturated conditions in the bedrock is assumed.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