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process is neglected. Although the flow in large fractures at depth might be significant the shear force is still very low (see Section 4.6.7).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process is neglected. Although the flow in large fractures at depth might be significant the shear force is still very low (see Section 4.6.7).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No gas flow sufficiently strong is expected, see row Groundwater flow above.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process is neglected. Although the flow in large fractures at depth might be significant the shear force is still very low (see Section 4.6.7).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site observations indicating limited significance at repository depth.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 since the bonding strength is much larger than the erosive force.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process is neglected. Although the flow in large fractures at depth might be significant the shear force is still very low (see Section 4.6.7).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site observations indicating limited significance at repository depth.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process is neglected. Although the flow in large fractures at depth might be significant the shear force is still very low (see Section 4.6.7).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site observations indicating limited significance at repository depth.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process is neglected. Although the flow in large fractures at depth might be significant the shear force is still very low (see Section 4.6.7).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site observations indicating limited significance at repository depth.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in unsaturated rock volumes the expected gas flow is too low to cause erosion.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