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vMerge w:val="restart"/>
          </w:tcPr>
          <w:p>
            <w:r>
              <w:rPr>
                <w:rFonts w:ascii="Times New Roman" w:hAnsi="Times New Roman"/>
                <w:b/>
                <w:sz w:val="20"/>
              </w:rPr>
              <w:t>Variable</w:t>
            </w:r>
          </w:p>
        </w:tc>
        <w:tc>
          <w:tcPr>
            <w:tcW w:type="dxa" w:w="4518"/>
            <w:gridSpan w:val="3"/>
          </w:tcPr>
          <w:p>
            <w:r>
              <w:rPr>
                <w:rFonts w:ascii="Times New Roman" w:hAnsi="Times New Roman"/>
                <w:b/>
                <w:sz w:val="20"/>
              </w:rPr>
              <w:t>Variable influence on process</w:t>
            </w:r>
          </w:p>
        </w:tc>
        <w:tc>
          <w:tcPr>
            <w:tcW w:type="dxa" w:w="4518"/>
            <w:gridSpan w:val="3"/>
          </w:tcPr>
          <w:p>
            <w:r>
              <w:rPr>
                <w:rFonts w:ascii="Times New Roman" w:hAnsi="Times New Roman"/>
                <w:b/>
                <w:sz w:val="20"/>
              </w:rPr>
              <w:t>Process influence on variables</w:t>
            </w:r>
          </w:p>
        </w:tc>
      </w:tr>
      <w:tr>
        <w:tc>
          <w:tcPr>
            <w:tcW w:type="dxa" w:w="1506"/>
            <w:vMerge/>
          </w:tcP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r>
      <w:tr>
        <w:tc>
          <w:tcPr>
            <w:tcW w:type="dxa" w:w="1506"/>
            <w:vMerge w:val="restart"/>
          </w:tcPr>
          <w:p>
            <w:r>
              <w:rPr>
                <w:rFonts w:ascii="Times New Roman" w:hAnsi="Times New Roman"/>
                <w:sz w:val="20"/>
              </w:rPr>
              <w:t>Temperature in bedrock</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Diffusion coefficients at constant temperature.</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flow</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pressure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Diffusion coefficients at constant temperature.</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phase flow</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Repository geometry</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geometry</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Site-specific descriptions of fracture and fracture zone geometry in groundwater flow modelling including diffusion of salt between mobile and immobile groundwater, see Section 3.1.</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As above for exchange of salt and reference waters in groundwater flow modelling. Geometry of flow paths and matrix porosity, see Section 6.1.</w:t>
            </w: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Site-specific descriptions of fracture and fracture zone geometry in groundwater flow modelling including diffusion of salt between mobile and immobile groundwater, see Section 3.1. Transport of radionuclides, discussed in Section 6.1.</w:t>
            </w: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Rock stresses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Matrix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Exchange of salt between mobile and immobile water through diffusion included in groundwater flow modelling, see Section 3.1.</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tcPr>
          <w:p>
            <w:r>
              <w:rPr>
                <w:rFonts w:ascii="Times New Roman" w:hAnsi="Times New Roman"/>
                <w:sz w:val="20"/>
              </w:rPr>
              <w:t>Effects on salinity of exchange of salt between mobile and immobile water included in the groundwater flow modelling, see Section 3.1.</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Exchange of salt and reference waters between mobile and immobile water through diffusion included in groundwater flow modelling, see Section 3.1. Transport of radionuclides, see Section 6.1.</w:t>
            </w:r>
          </w:p>
        </w:tc>
        <w:tc>
          <w:tcPr>
            <w:tcW w:type="dxa" w:w="1506"/>
            <w:vMerge/>
          </w:tcPr>
          <w:p/>
        </w:tc>
        <w:tc>
          <w:tcPr>
            <w:tcW w:type="dxa" w:w="1506"/>
          </w:tcPr>
          <w:p>
            <w:r>
              <w:rPr>
                <w:rFonts w:ascii="Times New Roman" w:hAnsi="Times New Roman"/>
                <w:sz w:val="20"/>
              </w:rPr>
              <w:t>Temperate</w:t>
            </w:r>
          </w:p>
        </w:tc>
        <w:tc>
          <w:tcPr>
            <w:tcW w:type="dxa" w:w="1506"/>
          </w:tcPr>
          <w:p>
            <w:r>
              <w:rPr>
                <w:rFonts w:ascii="Times New Roman" w:hAnsi="Times New Roman"/>
                <w:sz w:val="20"/>
              </w:rPr>
              <w:t>Effects on salinity and reference waters of exchange of salt and reference waters between mobile and immobile water included in the groundwater flow modelling, see Section 3.1. Transport of radionuclides, see Section 6.1.</w:t>
            </w: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val="restart"/>
          </w:tcPr>
          <w:p>
            <w:r>
              <w:rPr>
                <w:rFonts w:ascii="Times New Roman" w:hAnsi="Times New Roman"/>
                <w:sz w:val="20"/>
              </w:rPr>
              <w:t>Exchange of salt between mobile and immobile water through diffusion included in groundwater flow modelling see Section 3.1. Transport of radionuclides, see Section 6.1.</w:t>
            </w:r>
          </w:p>
        </w:tc>
        <w:tc>
          <w:tcPr>
            <w:tcW w:type="dxa" w:w="1506"/>
            <w:vMerge/>
          </w:tcPr>
          <w:p/>
        </w:tc>
        <w:tc>
          <w:tcPr>
            <w:tcW w:type="dxa" w:w="1506"/>
          </w:tcPr>
          <w:p>
            <w:r>
              <w:rPr>
                <w:rFonts w:ascii="Times New Roman" w:hAnsi="Times New Roman"/>
                <w:sz w:val="20"/>
              </w:rPr>
              <w:t>Periglacial</w:t>
            </w:r>
          </w:p>
        </w:tc>
        <w:tc>
          <w:tcPr>
            <w:tcW w:type="dxa" w:w="1506"/>
          </w:tcPr>
          <w:p>
            <w:r>
              <w:rPr>
                <w:rFonts w:ascii="Times New Roman" w:hAnsi="Times New Roman"/>
                <w:sz w:val="20"/>
              </w:rPr>
              <w:t>Effects on salinity of exchange of salt between mobile and immobile water included in the groundwater flow modelling, see Section 3.1. Transport of radionuclides, see Section 6.1.</w:t>
            </w: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Same as for periglacial above. Modelling of the effects of matrix diffusion on the consumption of oxygen present in infiltrating glacial melt waters.</w:t>
            </w:r>
          </w:p>
        </w:tc>
      </w:tr>
      <w:tr>
        <w:tc>
          <w:tcPr>
            <w:tcW w:type="dxa" w:w="1506"/>
            <w:vMerge w:val="restart"/>
          </w:tcPr>
          <w:p>
            <w:r>
              <w:rPr>
                <w:rFonts w:ascii="Times New Roman" w:hAnsi="Times New Roman"/>
                <w:sz w:val="20"/>
              </w:rPr>
              <w:t>Gas composition</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Structural and stray materials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Saturation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Little significance compared with other influences.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bl>
    <w:sectPr w:rsidR="00FC693F" w:rsidRPr="0006063C" w:rsidSect="00034616">
      <w:pgSz w:w="12240" w:h="15840"/>
      <w:pgMar w:top="1440" w:right="85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