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vMerge w:val="restart"/>
          </w:tcPr>
          <w:p>
            <w:r>
              <w:rPr>
                <w:rFonts w:ascii="Times New Roman" w:hAnsi="Times New Roman"/>
                <w:b/>
                <w:sz w:val="20"/>
              </w:rPr>
              <w:t>Variable</w:t>
            </w:r>
          </w:p>
        </w:tc>
        <w:tc>
          <w:tcPr>
            <w:tcW w:type="dxa" w:w="4518"/>
            <w:gridSpan w:val="3"/>
          </w:tcPr>
          <w:p>
            <w:r>
              <w:rPr>
                <w:rFonts w:ascii="Times New Roman" w:hAnsi="Times New Roman"/>
                <w:b/>
                <w:sz w:val="20"/>
              </w:rPr>
              <w:t>Variable influence on process</w:t>
            </w:r>
          </w:p>
        </w:tc>
        <w:tc>
          <w:tcPr>
            <w:tcW w:type="dxa" w:w="4518"/>
            <w:gridSpan w:val="3"/>
          </w:tcPr>
          <w:p>
            <w:r>
              <w:rPr>
                <w:rFonts w:ascii="Times New Roman" w:hAnsi="Times New Roman"/>
                <w:b/>
                <w:sz w:val="20"/>
              </w:rPr>
              <w:t>Process influence on variables</w:t>
            </w:r>
          </w:p>
        </w:tc>
      </w:tr>
      <w:tr>
        <w:tc>
          <w:tcPr>
            <w:tcW w:type="dxa" w:w="1506"/>
            <w:vMerge/>
          </w:tcP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r>
      <w:tr>
        <w:tc>
          <w:tcPr>
            <w:tcW w:type="dxa" w:w="1506"/>
            <w:vMerge w:val="restart"/>
          </w:tcPr>
          <w:p>
            <w:r>
              <w:rPr>
                <w:rFonts w:ascii="Times New Roman" w:hAnsi="Times New Roman"/>
                <w:sz w:val="20"/>
              </w:rPr>
              <w:t>Temperature in bedrock</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for radionuclides since engineered barriers are intact.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Use of Kd approach. Temperature effects are neglected owing to lack of internally consistent data sets for chemical reactions of sorbing radionuclide species.</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flow</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pressure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Influence neglected; little significance compared with other influences.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phase flow</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Repository geometry</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geometry</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for radionuclides since engineered barriers are intact.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Geometry of flow paths, see Process 6.1. Site-specific porosities, BET surfaces and stress effects considered in the selection of Kd. Surface retardation neglected.</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Rock stresses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Matrix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for radionuclides since engineered barriers are intact.</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Effect neglected (precipitation effects not accounted for), see Section 5.4.7.</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Site-specific porosities, BET surfaces and stress effects considered in the selection of Kd.</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for radionuclides since engineered barriers are intact.</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Direct effects neglected (precipitation effects not accounted for). Also, sorption on fracture surfaces not accounted for, see Section 5.4.7. Mineral equilibrium is considered for establishing background concentration ranges of competing solutes.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Site-specific porosities, BET surfaces and stress effects considered in the selection of Kd. However, surface retardation neglected.</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composition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for radionuclides since engineered barriers are intact.</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for radionuclides.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pH, redox, complexing ligands, salinity (ionic strength), organic acids, microbes considered in the selection of Kd values.</w:t>
            </w: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Sorption of radionuclides and trace elements not accounted for when main elements determined. For radionuclides, see Section 6.1.</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composition</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Structural and stray materials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Effect not considered.</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Saturation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for radionuclides since engineered barriers are intact.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Sorption of radionuclides considered for saturated conditions only.</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bl>
    <w:sectPr w:rsidR="00FC693F" w:rsidRPr="0006063C" w:rsidSect="00034616">
      <w:pgSz w:w="12240" w:h="15840"/>
      <w:pgMar w:top="1440" w:right="850" w:bottom="144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