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vMerge w:val="restart"/>
          </w:tcPr>
          <w:p>
            <w:r>
              <w:rPr>
                <w:rFonts w:ascii="Times New Roman" w:hAnsi="Times New Roman"/>
                <w:b/>
                <w:sz w:val="20"/>
              </w:rPr>
              <w:t>Variable</w:t>
            </w:r>
          </w:p>
        </w:tc>
        <w:tc>
          <w:tcPr>
            <w:tcW w:type="dxa" w:w="4518"/>
            <w:gridSpan w:val="3"/>
          </w:tcPr>
          <w:p>
            <w:r>
              <w:rPr>
                <w:rFonts w:ascii="Times New Roman" w:hAnsi="Times New Roman"/>
                <w:b/>
                <w:sz w:val="20"/>
              </w:rPr>
              <w:t>Variable influence on process</w:t>
            </w:r>
          </w:p>
        </w:tc>
        <w:tc>
          <w:tcPr>
            <w:tcW w:type="dxa" w:w="4518"/>
            <w:gridSpan w:val="3"/>
          </w:tcPr>
          <w:p>
            <w:r>
              <w:rPr>
                <w:rFonts w:ascii="Times New Roman" w:hAnsi="Times New Roman"/>
                <w:b/>
                <w:sz w:val="20"/>
              </w:rPr>
              <w:t>Process influence on variables</w:t>
            </w:r>
          </w:p>
        </w:tc>
      </w:tr>
      <w:tr>
        <w:tc>
          <w:tcPr>
            <w:tcW w:type="dxa" w:w="1506"/>
            <w:vMerge/>
          </w:tcP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c>
          <w:tcPr>
            <w:tcW w:type="dxa" w:w="1506"/>
          </w:tcPr>
          <w:p>
            <w:r>
              <w:rPr>
                <w:rFonts w:ascii="Times New Roman" w:hAnsi="Times New Roman"/>
                <w:b/>
                <w:sz w:val="20"/>
              </w:rPr>
              <w:t>Influence present? (Yes/No Description)</w:t>
            </w:r>
          </w:p>
        </w:tc>
        <w:tc>
          <w:tcPr>
            <w:tcW w:type="dxa" w:w="1506"/>
          </w:tcPr>
          <w:p>
            <w:r>
              <w:rPr>
                <w:rFonts w:ascii="Times New Roman" w:hAnsi="Times New Roman"/>
                <w:b/>
                <w:sz w:val="20"/>
              </w:rPr>
              <w:t>Time period/Climate domain</w:t>
            </w:r>
          </w:p>
        </w:tc>
        <w:tc>
          <w:tcPr>
            <w:tcW w:type="dxa" w:w="1506"/>
          </w:tcPr>
          <w:p>
            <w:r>
              <w:rPr>
                <w:rFonts w:ascii="Times New Roman" w:hAnsi="Times New Roman"/>
                <w:b/>
                <w:sz w:val="20"/>
              </w:rPr>
              <w:t>Handling of influence (How/If not - Why)</w:t>
            </w:r>
          </w:p>
        </w:tc>
      </w:tr>
      <w:tr>
        <w:tc>
          <w:tcPr>
            <w:tcW w:type="dxa" w:w="1506"/>
            <w:vMerge w:val="restart"/>
          </w:tcPr>
          <w:p>
            <w:r>
              <w:rPr>
                <w:rFonts w:ascii="Times New Roman" w:hAnsi="Times New Roman"/>
                <w:sz w:val="20"/>
              </w:rPr>
              <w:t>Temperature in bedrock</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Influence neglected; little significance compared with other influences.</w:t>
            </w: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Influence neglected; little significance compared with other influences.</w:t>
            </w:r>
          </w:p>
        </w:tc>
      </w:tr>
      <w:tr>
        <w:tc>
          <w:tcPr>
            <w:tcW w:type="dxa" w:w="1506"/>
            <w:vMerge w:val="restart"/>
          </w:tcPr>
          <w:p>
            <w:r>
              <w:rPr>
                <w:rFonts w:ascii="Times New Roman" w:hAnsi="Times New Roman"/>
                <w:sz w:val="20"/>
              </w:rPr>
              <w:t>Groundwater flow</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pressure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Influence neglected; little significance compared with other influences.</w:t>
            </w: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Gas phase flow</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Repository geometry</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Fracture geometry</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Porosity included in the modelling of the consumption of O2 in infiltrating glacial meltwaters.</w:t>
            </w: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Influence neglected; little significance compared with other influences.</w:t>
            </w:r>
          </w:p>
        </w:tc>
      </w:tr>
      <w:tr>
        <w:tc>
          <w:tcPr>
            <w:tcW w:type="dxa" w:w="1506"/>
            <w:vMerge w:val="restart"/>
          </w:tcPr>
          <w:p>
            <w:r>
              <w:rPr>
                <w:rFonts w:ascii="Times New Roman" w:hAnsi="Times New Roman"/>
                <w:sz w:val="20"/>
              </w:rPr>
              <w:t>Rock stresses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Matrix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Included in the modelling of the consumption in the rock matrix of O2 infiltrating in glacial melt waters.</w:t>
            </w: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Included in the modelling of the consumption in the rock matrix of O2 infiltrating in glacial melt waters.</w:t>
            </w:r>
          </w:p>
        </w:tc>
      </w:tr>
      <w:tr>
        <w:tc>
          <w:tcPr>
            <w:tcW w:type="dxa" w:w="1506"/>
            <w:vMerge w:val="restart"/>
          </w:tcPr>
          <w:p>
            <w:r>
              <w:rPr>
                <w:rFonts w:ascii="Times New Roman" w:hAnsi="Times New Roman"/>
                <w:sz w:val="20"/>
              </w:rPr>
              <w:t>Fracture minerals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Groundwater composition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The effects on dissolution-precipitation reactions in the rock matrix induced by the propagation of changes in chemical composition of groundwaters in fractures are not considered. Observations of drillcores indicate that this influence is negligible.</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Included in the modelling of the consumption in the rock matrix of O2 infiltrating in glacial melt waters.</w:t>
            </w: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Included in the modelling of the consumption in the rock matrix of O2 infiltrating in glacial melt waters.</w:t>
            </w:r>
          </w:p>
        </w:tc>
      </w:tr>
      <w:tr>
        <w:tc>
          <w:tcPr>
            <w:tcW w:type="dxa" w:w="1506"/>
            <w:vMerge w:val="restart"/>
          </w:tcPr>
          <w:p>
            <w:r>
              <w:rPr>
                <w:rFonts w:ascii="Times New Roman" w:hAnsi="Times New Roman"/>
                <w:sz w:val="20"/>
              </w:rPr>
              <w:t>Gas composition</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Structural and stray materials</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c>
          <w:tcPr>
            <w:tcW w:type="dxa" w:w="1506"/>
            <w:vMerge w:val="restart"/>
          </w:tcPr>
          <w:p>
            <w:r>
              <w:rPr>
                <w:rFonts w:ascii="Times New Roman" w:hAnsi="Times New Roman"/>
                <w:sz w:val="20"/>
              </w:rPr>
              <w:t>No</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c>
          <w:tcPr>
            <w:tcW w:type="dxa" w:w="1506"/>
            <w:vMerge/>
          </w:tcPr>
          <w:p/>
        </w:tc>
        <w:tc>
          <w:tcPr>
            <w:tcW w:type="dxa" w:w="1506"/>
          </w:tcPr>
          <w:p>
            <w:r>
              <w:rPr>
                <w:rFonts w:ascii="Times New Roman" w:hAnsi="Times New Roman"/>
                <w:sz w:val="20"/>
              </w:rPr>
              <w:t>Glacial</w:t>
            </w:r>
          </w:p>
        </w:tc>
        <w:tc>
          <w:tcPr>
            <w:tcW w:type="dxa" w:w="1506"/>
            <w:vMerge/>
          </w:tcPr>
          <w:p/>
        </w:tc>
      </w:tr>
      <w:tr>
        <w:tc>
          <w:tcPr>
            <w:tcW w:type="dxa" w:w="1506"/>
            <w:vMerge w:val="restart"/>
          </w:tcPr>
          <w:p>
            <w:r>
              <w:rPr>
                <w:rFonts w:ascii="Times New Roman" w:hAnsi="Times New Roman"/>
                <w:sz w:val="20"/>
              </w:rPr>
              <w:t>Saturation</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Process neglected; little expected impact compared with the effects of reactions with fracture-filling minerals.</w:t>
            </w:r>
          </w:p>
        </w:tc>
        <w:tc>
          <w:tcPr>
            <w:tcW w:type="dxa" w:w="1506"/>
            <w:vMerge w:val="restart"/>
          </w:tcPr>
          <w:p>
            <w:r>
              <w:rPr>
                <w:rFonts w:ascii="Times New Roman" w:hAnsi="Times New Roman"/>
                <w:sz w:val="20"/>
              </w:rPr>
              <w:t>Yes</w:t>
            </w:r>
          </w:p>
        </w:tc>
        <w:tc>
          <w:tcPr>
            <w:tcW w:type="dxa" w:w="1506"/>
          </w:tcPr>
          <w:p>
            <w:r>
              <w:rPr>
                <w:rFonts w:ascii="Times New Roman" w:hAnsi="Times New Roman"/>
                <w:sz w:val="20"/>
              </w:rPr>
              <w:t>Excavation/operation</w:t>
            </w:r>
          </w:p>
        </w:tc>
        <w:tc>
          <w:tcPr>
            <w:tcW w:type="dxa" w:w="1506"/>
            <w:vMerge w:val="restart"/>
          </w:tcPr>
          <w:p>
            <w:r>
              <w:rPr>
                <w:rFonts w:ascii="Times New Roman" w:hAnsi="Times New Roman"/>
                <w:sz w:val="20"/>
              </w:rPr>
              <w:t>Disregarded: Too small amounts of gaseous species involved in water-rock reactions.</w:t>
            </w:r>
          </w:p>
        </w:tc>
      </w:tr>
      <w:tr>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c>
          <w:tcPr>
            <w:tcW w:type="dxa" w:w="1506"/>
            <w:vMerge/>
          </w:tcPr>
          <w:p/>
        </w:tc>
        <w:tc>
          <w:tcPr>
            <w:tcW w:type="dxa" w:w="1506"/>
          </w:tcPr>
          <w:p>
            <w:r>
              <w:rPr>
                <w:rFonts w:ascii="Times New Roman" w:hAnsi="Times New Roman"/>
                <w:sz w:val="20"/>
              </w:rPr>
              <w:t>Temperate</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c>
          <w:tcPr>
            <w:tcW w:type="dxa" w:w="1506"/>
            <w:vMerge/>
          </w:tcPr>
          <w:p/>
        </w:tc>
        <w:tc>
          <w:tcPr>
            <w:tcW w:type="dxa" w:w="1506"/>
          </w:tcPr>
          <w:p>
            <w:r>
              <w:rPr>
                <w:rFonts w:ascii="Times New Roman" w:hAnsi="Times New Roman"/>
                <w:sz w:val="20"/>
              </w:rPr>
              <w:t>Periglacial</w:t>
            </w:r>
          </w:p>
        </w:tc>
        <w:tc>
          <w:tcPr>
            <w:tcW w:type="dxa" w:w="1506"/>
            <w:vMerge/>
          </w:tcPr>
          <w:p/>
        </w:tc>
      </w:tr>
      <w:tr>
        <w:tc>
          <w:tcPr>
            <w:tcW w:type="dxa" w:w="1506"/>
            <w:vMerge/>
          </w:tcPr>
          <w:p/>
        </w:tc>
        <w:tc>
          <w:tcPr>
            <w:tcW w:type="dxa" w:w="1506"/>
            <w:vMerge/>
          </w:tcPr>
          <w:p/>
        </w:tc>
        <w:tc>
          <w:tcPr>
            <w:tcW w:type="dxa" w:w="1506"/>
          </w:tcPr>
          <w:p>
            <w:r>
              <w:rPr>
                <w:rFonts w:ascii="Times New Roman" w:hAnsi="Times New Roman"/>
                <w:sz w:val="20"/>
              </w:rPr>
              <w:t>Glacial</w:t>
            </w:r>
          </w:p>
        </w:tc>
        <w:tc>
          <w:tcPr>
            <w:tcW w:type="dxa" w:w="1506"/>
          </w:tcPr>
          <w:p>
            <w:r>
              <w:rPr>
                <w:rFonts w:ascii="Times New Roman" w:hAnsi="Times New Roman"/>
                <w:sz w:val="20"/>
              </w:rPr>
              <w:t>Saturated conditions assumed.</w:t>
            </w:r>
          </w:p>
        </w:tc>
        <w:tc>
          <w:tcPr>
            <w:tcW w:type="dxa" w:w="1506"/>
            <w:vMerge/>
          </w:tcPr>
          <w:p/>
        </w:tc>
        <w:tc>
          <w:tcPr>
            <w:tcW w:type="dxa" w:w="1506"/>
          </w:tcPr>
          <w:p>
            <w:r>
              <w:rPr>
                <w:rFonts w:ascii="Times New Roman" w:hAnsi="Times New Roman"/>
                <w:sz w:val="20"/>
              </w:rPr>
              <w:t>Glacial</w:t>
            </w:r>
          </w:p>
        </w:tc>
        <w:tc>
          <w:tcPr>
            <w:tcW w:type="dxa" w:w="1506"/>
            <w:vMerge/>
          </w:tcPr>
          <w:p/>
        </w:tc>
      </w:tr>
    </w:tbl>
    <w:sectPr w:rsidR="00FC693F" w:rsidRPr="0006063C" w:rsidSect="00034616">
      <w:pgSz w:w="12240" w:h="15840"/>
      <w:pgMar w:top="1440" w:right="850" w:bottom="144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