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506"/>
        <w:gridCol w:w="1506"/>
        <w:gridCol w:w="1506"/>
        <w:gridCol w:w="1506"/>
        <w:gridCol w:w="1506"/>
        <w:gridCol w:w="1506"/>
        <w:gridCol w:w="1506"/>
      </w:tblGrid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b/>
                <w:sz w:val="20"/>
              </w:rPr>
              <w:t>Variable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Variable influence on process</w:t>
            </w:r>
          </w:p>
        </w:tc>
        <w:tc>
          <w:tcPr>
            <w:tcW w:type="dxa" w:w="4518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Process influence on variables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Influence present? (Yes/No Description)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Time period/Climate domain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b/>
                <w:sz w:val="20"/>
              </w:rPr>
              <w:t>Handling of influence (How/If not - Why)</w:t>
            </w:r>
          </w:p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Temperature in bedrock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not relevant.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Sorption coefficients and matrix diffusivities are chosen for relevant temperature conditions.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not relevant.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Flow paths, Darcy flux, flow-related transport resistance, advective travel time from site-specific groundwater flow modelling, see Section 3.1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pressure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phase flow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Repository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not relevant.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Flow paths and characteristics from site-specific groundwater flow modelling where tunnel layout is implemented in the models, see Section 3.1.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Flow paths and characteristics from site-specific groundwater flow modelling where tunnel layout is implemented in the models, see Section 3.1.  However, repository not explicitly included in groundwater flow model incorporating permafrost.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Flow paths and characteristics from site-specific groundwater flow modelling where tunnel layout is implemented in the models, see Section 3.1. However, repository not explicitly included in groundwater flow model incorporating an ice sheet.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geometry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not relevant.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Flow-related transport resistance from site-specific groundwater flow modelling, see Section 3.1. Site-specific porosities and formation factors considered in the selection of matrix porosity and diffusivity, see Section 5.3. Site-specific porosities, BET surfaces and stress effects considered in the selection of Kd values, see Section 5.4.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Rock stresses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Matrix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not relevant.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Site-specific rock mineralogy considered in the selection of sorption data, see Section 5.4.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Fracture minerals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not relevant.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Site-specific fracture mineralogy considered in the selection of sorption data, see Section 5.4. However, surface sorption not invoked.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Groundwater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not relevant.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not relevant.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Site-specific water salinity, pH, redox, organic acids, microbes considered in the selection of sorption and diffusion data, see Sections 5.3 and 5.4.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Radionuclide concentration and release to the biosphere are calculated.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Gas composition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Structural and stray materials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Yes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Process not relevant.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Sorption on structural and stray materials in the geosphere neglected.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Saturation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No</w:t>
            </w:r>
          </w:p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Excavation/operation</w:t>
            </w:r>
          </w:p>
        </w:tc>
        <w:tc>
          <w:tcPr>
            <w:tcW w:type="dxa" w:w="1506"/>
            <w:vMerge w:val="restart"/>
          </w:tcPr>
          <w:p>
            <w:r>
              <w:rPr>
                <w:rFonts w:ascii="Times New Roman" w:hAnsi="Times New Roman"/>
                <w:sz w:val="20"/>
              </w:rPr>
              <w:t>—</w:t>
            </w:r>
          </w:p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Temperate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Periglacial</w:t>
            </w:r>
          </w:p>
        </w:tc>
        <w:tc>
          <w:tcPr>
            <w:tcW w:type="dxa" w:w="1506"/>
            <w:vMerge/>
          </w:tcPr>
          <w:p/>
        </w:tc>
      </w:tr>
      <w:tr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  <w:tc>
          <w:tcPr>
            <w:tcW w:type="dxa" w:w="1506"/>
            <w:vMerge/>
          </w:tcPr>
          <w:p/>
        </w:tc>
        <w:tc>
          <w:tcPr>
            <w:tcW w:type="dxa" w:w="1506"/>
          </w:tcPr>
          <w:p>
            <w:r>
              <w:rPr>
                <w:rFonts w:ascii="Times New Roman" w:hAnsi="Times New Roman"/>
                <w:sz w:val="20"/>
              </w:rPr>
              <w:t>Glacial</w:t>
            </w:r>
          </w:p>
        </w:tc>
        <w:tc>
          <w:tcPr>
            <w:tcW w:type="dxa" w:w="1506"/>
            <w:vMerge/>
          </w:tcPr>
          <w:p/>
        </w:tc>
      </w:tr>
    </w:tbl>
    <w:sectPr w:rsidR="00FC693F" w:rsidRPr="0006063C" w:rsidSect="00034616">
      <w:pgSz w:w="12240" w:h="15840"/>
      <w:pgMar w:top="1440" w:right="850" w:bottom="144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