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1) </w:t>
      </w:r>
      <w:r w:rsidDel="00000000" w:rsidR="00000000" w:rsidRPr="00000000">
        <w:rPr>
          <w:rtl w:val="1"/>
        </w:rPr>
        <w:t xml:space="preserve">עקרון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הכימוס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להחביא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ולאסוף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ופעולות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אנקפסולציה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byte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2)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אבסטרקטית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האבסטרקטית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3)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אבסטרקטית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מהאבסטרקטית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ורגילה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4)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modifier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