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600"/>
        <w:gridCol w:w="3606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single" w:color="15141A" w:sz="18"/>
              <w:right w:val="none" w:color="FFFFFF" w:sz="0"/>
            </w:tcBorders>
            <w:tcMar>
              <w:bottom w:type="dxa" w:w="100"/>
            </w:tcMar>
            <w:vAlign w:val="bottom"/>
          </w:tcPr>
          <w:p>
            <w:r>
              <w:rPr>
                <w:b/>
                <w:bCs/>
                <w:sz w:val="34"/>
                <w:szCs w:val="34"/>
              </w:rPr>
              <w:t xml:space="preserve">Gestión de Pagos y Aranceles</w:t>
            </w:r>
            <w:r>
              <w:rPr>
                <w:b/>
                <w:bCs/>
                <w:color w:val="FF5533"/>
                <w:sz w:val="34"/>
                <w:szCs w:val="34"/>
              </w:rPr>
              <w:t xml:space="preserve">.</w:t>
            </w:r>
          </w:p>
          <w:p>
            <w:r>
              <w:rPr>
                <w:color w:val="6B6B76"/>
              </w:rPr>
              <w:t xml:space="preserve">Informe técnico · Actividad 7 · Parcial 2 integrador</w:t>
            </w:r>
          </w:p>
        </w:tc>
        <w:tc>
          <w:tcPr>
            <w:tcW w:type="dxa" w:w="3606"/>
            <w:tcBorders>
              <w:top w:val="none" w:color="FFFFFF" w:sz="0"/>
              <w:left w:val="none" w:color="FFFFFF" w:sz="0"/>
              <w:bottom w:val="single" w:color="15141A" w:sz="18"/>
              <w:right w:val="none" w:color="FFFFFF" w:sz="0"/>
            </w:tcBorders>
            <w:tcMar>
              <w:bottom w:type="dxa" w:w="100"/>
            </w:tcMar>
            <w:vAlign w:val="bottom"/>
          </w:tcPr>
          <w:p>
            <w:pPr>
              <w:jc w:val="right"/>
            </w:pPr>
            <w:r>
              <w:rPr>
                <w:b w:val="false"/>
                <w:bCs w:val="false"/>
                <w:color w:val="6B6B76"/>
                <w:sz w:val="17"/>
                <w:szCs w:val="17"/>
              </w:rPr>
              <w:t xml:space="preserve">Programación III · IPESMI · 2026</w:t>
            </w:r>
          </w:p>
          <w:p>
            <w:pPr>
              <w:jc w:val="right"/>
            </w:pPr>
            <w:r>
              <w:rPr>
                <w:b w:val="false"/>
                <w:bCs w:val="false"/>
                <w:color w:val="6B6B76"/>
                <w:sz w:val="17"/>
                <w:szCs w:val="17"/>
              </w:rPr>
              <w:t xml:space="preserve">Docente: José Lutgen</w:t>
            </w:r>
          </w:p>
          <w:p>
            <w:pPr>
              <w:jc w:val="right"/>
            </w:pPr>
            <w:r>
              <w:rPr>
                <w:b/>
                <w:bCs/>
                <w:color w:val="15141A"/>
                <w:sz w:val="17"/>
                <w:szCs w:val="17"/>
              </w:rPr>
              <w:t xml:space="preserve">Alumno: Medina Nataniel</w:t>
            </w:r>
          </w:p>
        </w:tc>
      </w:tr>
    </w:tbl>
    <w:p>
      <w:pPr>
        <w:spacing w:after="60"/>
      </w:pPr>
    </w:p>
    <w:p>
      <w:pPr>
        <w:spacing w:after="80"/>
      </w:pPr>
      <w:r>
        <w:t xml:space="preserve">Aplicación de escritorio que administra los </w:t>
      </w:r>
      <w:r>
        <w:rPr>
          <w:b/>
          <w:bCs/>
        </w:rPr>
        <w:t xml:space="preserve">conceptos de pago</w:t>
      </w:r>
      <w:r>
        <w:t xml:space="preserve"> del instituto (matrícula, cuotas, derechos de examen), los </w:t>
      </w:r>
      <w:r>
        <w:rPr>
          <w:b/>
          <w:bCs/>
        </w:rPr>
        <w:t xml:space="preserve">pagos</w:t>
      </w:r>
      <w:r>
        <w:t xml:space="preserve"> de cada estudiante en efectivo, tarjeta o transferencia, el cálculo de </w:t>
      </w:r>
      <w:r>
        <w:rPr>
          <w:b/>
          <w:bCs/>
        </w:rPr>
        <w:t xml:space="preserve">saldos pendientes</w:t>
      </w:r>
      <w:r>
        <w:t xml:space="preserve"> y la aplicación de </w:t>
      </w:r>
      <w:r>
        <w:rPr>
          <w:b/>
          <w:bCs/>
        </w:rPr>
        <w:t xml:space="preserve">becas</w:t>
      </w:r>
      <w:r>
        <w:t xml:space="preserve">. Está hecha con Java 21, JavaFX 21, JPA (Hibernate 6) sobre MySQL y Maven.</w:t>
      </w:r>
    </w:p>
    <w:p>
      <w:pPr>
        <w:pStyle w:val="Heading2"/>
        <w:spacing w:before="200" w:after="70"/>
      </w:pPr>
      <w:r>
        <w:rPr>
          <w:color w:val="FF5533"/>
          <w:sz w:val="20"/>
          <w:szCs w:val="20"/>
        </w:rPr>
        <w:t xml:space="preserve">■  </w:t>
      </w:r>
      <w:r>
        <w:rPr>
          <w:b/>
          <w:bCs/>
          <w:color w:val="15141A"/>
          <w:sz w:val="21"/>
          <w:szCs w:val="21"/>
          <w:spacing w:val="10"/>
        </w:rPr>
        <w:t xml:space="preserve">CONTENIDOS APLICADOS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706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15141A" w:sz="1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6B6B76"/>
                <w:sz w:val="15"/>
                <w:szCs w:val="15"/>
              </w:rPr>
              <w:t xml:space="preserve">UNIDAD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15141A" w:sz="1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6B6B76"/>
                <w:sz w:val="15"/>
                <w:szCs w:val="15"/>
              </w:rPr>
              <w:t xml:space="preserve">DÓNDE SE APLICA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b/>
                <w:bCs/>
              </w:rPr>
              <w:t xml:space="preserve">4 · Excepciones y colecciones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PagoDuplicadoException</w:t>
            </w:r>
            <w: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MontoInvalidoException</w:t>
            </w:r>
            <w:r>
              <w:t xml:space="preserve"> y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BecaNoAplicableException</w:t>
            </w:r>
            <w:r>
              <w:t xml:space="preserve"> heredan de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ArancelException</w:t>
            </w:r>
            <w:r>
              <w:t xml:space="preserve"> (verificada).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EstudianteService</w:t>
            </w:r>
            <w:r>
              <w:t xml:space="preserve"> usa un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HashMap&lt;Integer, Estudiante&gt;</w:t>
            </w:r>
            <w:r>
              <w:t xml:space="preserve"> indexado por legajo;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PagoService</w:t>
            </w:r>
            <w:r>
              <w:t xml:space="preserve"> un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ArrayList&lt;Pago&gt;</w:t>
            </w:r>
            <w:r>
              <w:t xml:space="preserve">, también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EnumMap</w:t>
            </w:r>
            <w: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FilteredList</w:t>
            </w:r>
            <w:r>
              <w:t xml:space="preserve"> y streams.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b/>
                <w:bCs/>
              </w:rPr>
              <w:t xml:space="preserve">5 · Swing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SimuladorBecaFrame</w:t>
            </w:r>
            <w:r>
              <w:t xml:space="preserve">: formulario con BorderLayout, GridBagLayout, GridLayout y FlowLayout; eventos ActionListener, ChangeListener (JSlider / JSpinner) y DocumentListener. Se abre desde JavaFX en el hilo de Swing (EDT).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b/>
                <w:bCs/>
              </w:rPr>
              <w:t xml:space="preserve">6 · JavaFX avanzado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t xml:space="preserve">Patrón MVC con 6 vistas FXML y sus controladores; TableView (con filtros y celdas propias), TreeView (cuenta corriente), PieChart, CSS propio y animaciones (Fade, Translate, Scale, Timeline).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b/>
                <w:bCs/>
              </w:rPr>
              <w:t xml:space="preserve">7 · Persistencia JPA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t xml:space="preserve">Entidades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Estudiante</w:t>
            </w:r>
            <w: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Concepto</w:t>
            </w:r>
            <w:r>
              <w:t xml:space="preserve"> y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Pago</w:t>
            </w:r>
            <w:r>
              <w:t xml:space="preserve"> (abstracta) con herencia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SINGLE_TABLE</w:t>
            </w:r>
            <w:r>
              <w:t xml:space="preserve">;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EntityManager</w:t>
            </w:r>
            <w:r>
              <w:t xml:space="preserve"> por operación con transacciones; CRUD genérico y consultas JPQL (JOIN FETCH, COUNT, GROUP BY).</w:t>
            </w:r>
          </w:p>
        </w:tc>
      </w:tr>
      <w:tr>
        <w:trPr>
          <w:cantSplit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b/>
                <w:bCs/>
              </w:rPr>
              <w:t xml:space="preserve">8 · Patrones y pruebas</w:t>
            </w:r>
          </w:p>
        </w:tc>
        <w:tc>
          <w:tcPr>
            <w:tcW w:type="dxa" w:w="7706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t xml:space="preserve">Logger </w:t>
            </w:r>
            <w:r>
              <w:rPr>
                <w:b/>
                <w:bCs/>
              </w:rPr>
              <w:t xml:space="preserve">Singleton</w:t>
            </w:r>
            <w:r>
              <w:t xml:space="preserve"> (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LoggerTransacciones</w:t>
            </w:r>
            <w:r>
              <w:t xml:space="preserve">), </w:t>
            </w:r>
            <w:r>
              <w:rPr>
                <w:b/>
                <w:bCs/>
              </w:rPr>
              <w:t xml:space="preserve">Factory</w:t>
            </w:r>
            <w:r>
              <w:t xml:space="preserve"> (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PagoFactory</w:t>
            </w:r>
            <w:r>
              <w:t xml:space="preserve">) y </w:t>
            </w:r>
            <w:r>
              <w:rPr>
                <w:b/>
                <w:bCs/>
              </w:rPr>
              <w:t xml:space="preserve">91 pruebas JUnit 5</w:t>
            </w:r>
            <w:r>
              <w:t xml:space="preserve">: Logger, Factory, cálculo de saldos y servicio JPA sobre H2.</w:t>
            </w:r>
          </w:p>
        </w:tc>
      </w:tr>
    </w:tbl>
    <w:p>
      <w:pPr>
        <w:pStyle w:val="Heading2"/>
        <w:spacing w:before="200" w:after="70"/>
      </w:pPr>
      <w:r>
        <w:rPr>
          <w:color w:val="4B3BFF"/>
          <w:sz w:val="20"/>
          <w:szCs w:val="20"/>
        </w:rPr>
        <w:t xml:space="preserve">■  </w:t>
      </w:r>
      <w:r>
        <w:rPr>
          <w:b/>
          <w:bCs/>
          <w:color w:val="15141A"/>
          <w:sz w:val="21"/>
          <w:szCs w:val="21"/>
          <w:spacing w:val="10"/>
        </w:rPr>
        <w:t xml:space="preserve">DECISIONES DE DISEÑO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Capas:</w:t>
      </w:r>
      <w:r>
        <w:t xml:space="preserve"> </w:t>
      </w:r>
      <w:r>
        <w:rPr>
          <w:i/>
          <w:iCs/>
        </w:rPr>
        <w:t xml:space="preserve">modelo</w:t>
      </w:r>
      <w:r>
        <w:t xml:space="preserve"> (entidades) → </w:t>
      </w:r>
      <w:r>
        <w:rPr>
          <w:i/>
          <w:iCs/>
        </w:rPr>
        <w:t xml:space="preserve">DAO</w:t>
      </w:r>
      <w:r>
        <w:t xml:space="preserve"> (JPA/JPQL) → </w:t>
      </w:r>
      <w:r>
        <w:rPr>
          <w:i/>
          <w:iCs/>
        </w:rPr>
        <w:t xml:space="preserve">servicios</w:t>
      </w:r>
      <w:r>
        <w:t xml:space="preserve"> (reglas de negocio) → </w:t>
      </w:r>
      <w:r>
        <w:rPr>
          <w:i/>
          <w:iCs/>
        </w:rPr>
        <w:t xml:space="preserve">controladores</w:t>
      </w:r>
      <w:r>
        <w:t xml:space="preserve"> → </w:t>
      </w:r>
      <w:r>
        <w:rPr>
          <w:i/>
          <w:iCs/>
        </w:rPr>
        <w:t xml:space="preserve">vistas FXML + CSS</w:t>
      </w:r>
      <w:r>
        <w:t xml:space="preserve">. Los controladores nunca acceden a la base; los servicios se comparten mediante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AppContext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Modelo de deuda:</w:t>
      </w:r>
      <w:r>
        <w:t xml:space="preserve"> cada estudiante activo debe todos los conceptos. </w:t>
      </w:r>
      <w:r>
        <w:rPr>
          <w:i/>
          <w:iCs/>
        </w:rPr>
        <w:t xml:space="preserve">Importe</w:t>
      </w:r>
      <w:r>
        <w:t xml:space="preserve"> = monto del concepto menos el % de beca (solo si el concepto es becable). </w:t>
      </w:r>
      <w:r>
        <w:rPr>
          <w:i/>
          <w:iCs/>
        </w:rPr>
        <w:t xml:space="preserve">Saldo</w:t>
      </w:r>
      <w:r>
        <w:t xml:space="preserve"> = importe − pagos acreditados. Para evitar pagos dobles, el monto máximo admitido descuenta también los pagos pendientes.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Herencia + Factory:</w:t>
      </w:r>
      <w:r>
        <w:t xml:space="preserve">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PagoEfectivo</w:t>
      </w:r>
      <w:r>
        <w:t xml:space="preserve">,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PagoTarjeta</w:t>
      </w:r>
      <w:r>
        <w:t xml:space="preserve"> y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PagoTransferencia</w:t>
      </w:r>
      <w:r>
        <w:t xml:space="preserve"> comparten una tabla (columna discriminadora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medio</w:t>
      </w:r>
      <w:r>
        <w:t xml:space="preserve">). La fábrica valida los datos de cada medio y fija el estado inicial: efectivo y tarjeta quedan </w:t>
      </w:r>
      <w:r>
        <w:rPr>
          <w:i/>
          <w:iCs/>
        </w:rPr>
        <w:t xml:space="preserve">acreditados</w:t>
      </w:r>
      <w:r>
        <w:t xml:space="preserve">; la transferencia, </w:t>
      </w:r>
      <w:r>
        <w:rPr>
          <w:i/>
          <w:iCs/>
        </w:rPr>
        <w:t xml:space="preserve">pendiente</w:t>
      </w:r>
      <w:r>
        <w:t xml:space="preserve"> hasta que tesorería la acredita.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Dinero con</w:t>
      </w:r>
      <w:r>
        <w:t xml:space="preserve">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BigDecimal</w:t>
      </w:r>
      <w:r>
        <w:t xml:space="preserve"> (2 decimales, redondeo HALF_UP), nunca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double</w:t>
      </w:r>
      <w:r>
        <w:t xml:space="preserve">, para no perder centavos.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Cálculo aislado:</w:t>
      </w:r>
      <w:r>
        <w:t xml:space="preserve">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CalculadoraSaldos</w:t>
      </w:r>
      <w:r>
        <w:t xml:space="preserve"> no depende de la base, por eso se prueba de forma unitaria; el servicio se prueba integrado con H2 en memoria.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Logger:</w:t>
      </w:r>
      <w:r>
        <w:t xml:space="preserve"> Singleton con </w:t>
      </w:r>
      <w:r>
        <w:rPr>
          <w:i/>
          <w:iCs/>
        </w:rPr>
        <w:t xml:space="preserve">holder idiom</w:t>
      </w:r>
      <w:r>
        <w:t xml:space="preserve"> (perezoso y thread-safe); escribe en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logs/transacciones.log</w:t>
      </w:r>
      <w:r>
        <w:t xml:space="preserve">, guarda el historial y avisa a la vista Bitácora en vivo.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Configuración en capas:</w:t>
      </w:r>
      <w:r>
        <w:t xml:space="preserve">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persistence.xml</w:t>
      </w:r>
      <w:r>
        <w:t xml:space="preserve"> →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config/db.properties</w:t>
      </w:r>
      <w:r>
        <w:t xml:space="preserve"> → propiedades del sistema. Con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-Dpagos.demo=true</w:t>
      </w:r>
      <w:r>
        <w:t xml:space="preserve"> se usa H2 con datos de ejemplo, sin MySQL.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b/>
          <w:bCs/>
        </w:rPr>
        <w:t xml:space="preserve">Interfaz:</w:t>
      </w:r>
      <w:r>
        <w:t xml:space="preserve"> paleta de papel y tinta con acentos de color por categoría. Los avisos son </w:t>
      </w:r>
      <w:r>
        <w:rPr>
          <w:i/>
          <w:iCs/>
        </w:rPr>
        <w:t xml:space="preserve">toasts</w:t>
      </w:r>
      <w:r>
        <w:t xml:space="preserve"> no bloqueantes en lugar de diálogos, y los campos con error se sacuden. El selector de estudiantes es un buscador con autocompletado (legajo o nombre, sin tildes), pensado para cuando haya muchos. La conexión se abre en un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Task</w:t>
      </w:r>
      <w:r>
        <w:t xml:space="preserve">.</w:t>
      </w:r>
    </w:p>
    <w:p>
      <w:pPr>
        <w:spacing w:after="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03"/>
        <w:gridCol w:w="5103"/>
      </w:tblGrid>
      <w:tr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419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40"/>
              <w:right w:type="dxa" w:w="4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762250" cy="1419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1419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2"/>
        <w:spacing w:before="200" w:after="70"/>
      </w:pPr>
      <w:r>
        <w:rPr>
          <w:color w:val="00B89C"/>
          <w:sz w:val="20"/>
          <w:szCs w:val="20"/>
        </w:rPr>
        <w:t xml:space="preserve">■  </w:t>
      </w:r>
      <w:r>
        <w:rPr>
          <w:b/>
          <w:bCs/>
          <w:color w:val="15141A"/>
          <w:sz w:val="21"/>
          <w:szCs w:val="21"/>
          <w:spacing w:val="10"/>
        </w:rPr>
        <w:t xml:space="preserve">DIFICULTADES ENCONTRADAS Y SOLUCIONES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7106"/>
      </w:tblGrid>
      <w:tr>
        <w:trPr>
          <w:tblHeader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15141A" w:sz="1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6B6B76"/>
                <w:sz w:val="15"/>
                <w:szCs w:val="15"/>
              </w:rPr>
              <w:t xml:space="preserve">DIFICULTAD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single" w:color="15141A" w:sz="10"/>
              <w:right w:val="none" w:color="FFFFFF" w:sz="0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r>
              <w:rPr>
                <w:b/>
                <w:bCs/>
                <w:color w:val="6B6B76"/>
                <w:sz w:val="15"/>
                <w:szCs w:val="15"/>
              </w:rPr>
              <w:t xml:space="preserve">SOLUCIÓN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b/>
                <w:bCs/>
              </w:rPr>
              <w:t xml:space="preserve">Aplicar una beca del 100 % era rechazado como “no aplicable”.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t xml:space="preserve">Lo detectó la prueba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becaCompleta</w:t>
            </w:r>
            <w:r>
              <w:t xml:space="preserve">: se verificaba el saldo </w:t>
            </w:r>
            <w:r>
              <w:rPr>
                <w:i/>
                <w:iCs/>
              </w:rPr>
              <w:t xml:space="preserve">con la beca nueva</w:t>
            </w:r>
            <w:r>
              <w:t xml:space="preserve"> (que da 0). Ahora se controla con el saldo actual, antes de aplicarla.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b/>
                <w:bCs/>
              </w:rPr>
              <w:t xml:space="preserve">Mostrar “pago duplicado” y no “monto vacío” al intentar pagar un concepto ya cancelado.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t xml:space="preserve">Se reordenaron las validaciones del servicio: primero se busca el duplicado y después se valida el monto.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b/>
                <w:bCs/>
              </w:rPr>
              <w:t xml:space="preserve">Que el script SQL y las entidades JPA coincidan (enums, booleanos, herencia).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t xml:space="preserve">Enums guardados como texto (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EnumType.STRING</w:t>
            </w:r>
            <w:r>
              <w:t xml:space="preserve">) y columnas VARCHAR en el script. Se ejecutó el script en MySQL 9.7 y sus consultas de saldo dan lo mismo que la aplicación.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b/>
                <w:bCs/>
              </w:rPr>
              <w:t xml:space="preserve">Swing y JavaFX en el mismo programa: dos hilos de interfaz y la JVM no terminaba al cerrar.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t xml:space="preserve">El simulador se crea con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SwingUtilities.invokeLater</w:t>
            </w:r>
            <w:r>
              <w:t xml:space="preserve"> (EDT) y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App.stop()</w:t>
            </w:r>
            <w:r>
              <w:t xml:space="preserve"> cierra JPA y llama a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System.exit</w:t>
            </w:r>
            <w:r>
              <w:t xml:space="preserve">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b/>
                <w:bCs/>
              </w:rPr>
              <w:t xml:space="preserve">Textos invisibles dentro de los </w:t>
            </w:r>
            <w:r>
              <w:rPr>
                <w:b/>
                <w:bCs/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ScrollPane</w:t>
            </w:r>
            <w:r>
              <w:rPr>
                <w:b/>
                <w:bCs/>
              </w:rPr>
              <w:t xml:space="preserve">.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t xml:space="preserve">JavaFX deriva el color del texto de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-fx-background</w:t>
            </w:r>
            <w:r>
              <w:t xml:space="preserve">; al ser transparente elegía blanco. Se definió el color de fondo real.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b/>
                <w:bCs/>
              </w:rPr>
              <w:t xml:space="preserve">Columnas recortadas en pantallas de 1366×768.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t xml:space="preserve">Anchos mínimos por columna, política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CONSTRAINED_RESIZE_POLICY_ALL_COLUMNS</w:t>
            </w:r>
            <w:r>
              <w:t xml:space="preserve">, formulario más compacto y ventana maximizada en pantallas chicas.</w:t>
            </w:r>
          </w:p>
        </w:tc>
      </w:tr>
      <w:tr>
        <w:trPr>
          <w:cantSplit/>
        </w:trPr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rPr>
                <w:b/>
                <w:bCs/>
              </w:rPr>
              <w:t xml:space="preserve">Muchas validaciones y casos borde difíciles de probar a mano.</w:t>
            </w:r>
          </w:p>
        </w:tc>
        <w:tc>
          <w:tcPr>
            <w:tcW w:type="dxa" w:w="7106"/>
            <w:tcBorders>
              <w:top w:val="none" w:color="FFFFFF" w:sz="0"/>
              <w:left w:val="none" w:color="FFFFFF" w:sz="0"/>
              <w:bottom w:val="single" w:color="E5E2DA" w:sz="4"/>
              <w:right w:val="none" w:color="FFFFFF" w:sz="0"/>
            </w:tcBorders>
            <w:tcMar>
              <w:top w:type="dxa" w:w="45"/>
              <w:left w:type="dxa" w:w="90"/>
              <w:bottom w:type="dxa" w:w="45"/>
              <w:right w:type="dxa" w:w="90"/>
            </w:tcMar>
          </w:tcPr>
          <w:p>
            <w:r>
              <w:t xml:space="preserve">Pruebas parametrizadas JUnit 5 (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@ParameterizedTest</w:t>
            </w:r>
            <w:r>
              <w:t xml:space="preserve">, </w:t>
            </w:r>
            <w:r>
              <w:rPr>
                <w:sz w:val="17"/>
                <w:szCs w:val="17"/>
                <w:rFonts w:ascii="Consolas" w:cs="Consolas" w:eastAsia="Consolas" w:hAnsi="Consolas"/>
                <w:shd w:fill="F1EFEA" w:color="auto" w:val="clear"/>
              </w:rPr>
              <w:t xml:space="preserve">@CsvSource</w:t>
            </w:r>
            <w:r>
              <w:t xml:space="preserve">): montos 0 / negativos / 3 decimales, beca 0 / 100 / 100,01 / NaN, pagar el saldo exacto y un centavo más, 1 y 12 cuotas.</w:t>
            </w:r>
          </w:p>
        </w:tc>
      </w:tr>
    </w:tbl>
    <w:p>
      <w:pPr>
        <w:pStyle w:val="Heading2"/>
        <w:spacing w:before="200" w:after="70"/>
      </w:pPr>
      <w:r>
        <w:rPr>
          <w:color w:val="FFB400"/>
          <w:sz w:val="20"/>
          <w:szCs w:val="20"/>
        </w:rPr>
        <w:t xml:space="preserve">■  </w:t>
      </w:r>
      <w:r>
        <w:rPr>
          <w:b/>
          <w:bCs/>
          <w:color w:val="15141A"/>
          <w:sz w:val="21"/>
          <w:szCs w:val="21"/>
          <w:spacing w:val="10"/>
        </w:rPr>
        <w:t xml:space="preserve">PRUEBAS</w:t>
      </w:r>
    </w:p>
    <w:p>
      <w:pPr>
        <w:spacing w:after="80"/>
      </w:pP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mvn test</w:t>
      </w:r>
      <w:r>
        <w:t xml:space="preserve"> → </w:t>
      </w:r>
      <w:r>
        <w:rPr>
          <w:b/>
          <w:bCs/>
        </w:rPr>
        <w:t xml:space="preserve">91 pruebas, 0 fallas</w:t>
      </w:r>
      <w:r>
        <w:t xml:space="preserve">.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LoggerTransaccionesTest</w:t>
      </w:r>
      <w:r>
        <w:t xml:space="preserve"> (unicidad, concurrencia, archivo, mensajes nulos/vacíos),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PagoFactoryTest</w:t>
      </w:r>
      <w:r>
        <w:t xml:space="preserve"> (tipos válidos e inválidos, dígitos y cuotas),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CalculadoraSaldosTest</w:t>
      </w:r>
      <w:r>
        <w:t xml:space="preserve"> (parciales, becas, centavos, inactivos) y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PagoServiceTest</w:t>
      </w:r>
      <w:r>
        <w:t xml:space="preserve"> (JPA + H2: duplicados, montos, becas, acreditación, JPQL) y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BusquedaTest</w:t>
      </w:r>
      <w:r>
        <w:t xml:space="preserve"> (búsqueda de estudiantes).</w:t>
      </w:r>
    </w:p>
    <w:p>
      <w:pPr>
        <w:pStyle w:val="Heading2"/>
        <w:spacing w:before="200" w:after="70"/>
      </w:pPr>
      <w:r>
        <w:rPr>
          <w:color w:val="FF5533"/>
          <w:sz w:val="20"/>
          <w:szCs w:val="20"/>
        </w:rPr>
        <w:t xml:space="preserve">■  </w:t>
      </w:r>
      <w:r>
        <w:rPr>
          <w:b/>
          <w:bCs/>
          <w:color w:val="15141A"/>
          <w:sz w:val="21"/>
          <w:szCs w:val="21"/>
          <w:spacing w:val="10"/>
        </w:rPr>
        <w:t xml:space="preserve">EJECUCIÓN</w:t>
      </w:r>
    </w:p>
    <w:p>
      <w:pPr>
        <w:spacing w:after="80"/>
      </w:pPr>
      <w:r>
        <w:t xml:space="preserve">1) Ejecutar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sql/pagos_aranceles.sql</w:t>
      </w:r>
      <w:r>
        <w:t xml:space="preserve"> en MySQL. 2) Copiar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config/db.properties.ejemplo</w:t>
      </w:r>
      <w:r>
        <w:t xml:space="preserve"> como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db.properties</w:t>
      </w:r>
      <w:r>
        <w:t xml:space="preserve"> con el usuario y la contraseña. 3)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mvn javafx:run</w:t>
      </w:r>
      <w:r>
        <w:t xml:space="preserve">. Sin MySQL: </w:t>
      </w:r>
      <w:r>
        <w:rPr>
          <w:sz w:val="17"/>
          <w:szCs w:val="17"/>
          <w:rFonts w:ascii="Consolas" w:cs="Consolas" w:eastAsia="Consolas" w:hAnsi="Consolas"/>
          <w:shd w:fill="F1EFEA" w:color="auto" w:val="clear"/>
        </w:rPr>
        <w:t xml:space="preserve">mvn compile exec:java -Dpagos.demo=true</w:t>
      </w:r>
      <w:r>
        <w:t xml:space="preserve">.</w:t>
      </w:r>
    </w:p>
    <w:p>
      <w:pPr>
        <w:pStyle w:val="Heading2"/>
        <w:spacing w:before="200" w:after="70"/>
      </w:pPr>
      <w:r>
        <w:rPr>
          <w:color w:val="4B3BFF"/>
          <w:sz w:val="20"/>
          <w:szCs w:val="20"/>
        </w:rPr>
        <w:t xml:space="preserve">■  </w:t>
      </w:r>
      <w:r>
        <w:rPr>
          <w:b/>
          <w:bCs/>
          <w:color w:val="15141A"/>
          <w:sz w:val="21"/>
          <w:szCs w:val="21"/>
          <w:spacing w:val="10"/>
        </w:rPr>
        <w:t xml:space="preserve">REPOSITORIO GITHUB</w:t>
      </w:r>
    </w:p>
    <w:p>
      <w:pPr>
        <w:pBdr>
          <w:top w:val="single" w:color="15141A" w:sz="24"/>
          <w:bottom w:val="single" w:color="15141A" w:sz="24"/>
          <w:left w:val="single" w:color="15141A" w:sz="24"/>
          <w:right w:val="single" w:color="15141A" w:sz="24"/>
        </w:pBdr>
        <w:shd w:fill="15141A" w:color="auto" w:val="clear"/>
        <w:spacing w:before="40"/>
      </w:pPr>
      <w:r>
        <w:rPr>
          <w:color w:val="FFFFFF"/>
        </w:rPr>
        <w:t xml:space="preserve">  </w:t>
      </w:r>
      <w:hyperlink w:history="1" r:id="rId4ud7uf5r7gh7c2yivwo2o">
        <w:r>
          <w:rPr>
            <w:b/>
            <w:bCs/>
            <w:color w:val="FFB400"/>
          </w:rPr>
          <w:t xml:space="preserve">github.com/NatanielFM/SistemaDeGestionDePagosYAranceles</w:t>
        </w:r>
      </w:hyperlink>
      <w:r>
        <w:rPr>
          <w:color w:val="FFFFFF"/>
        </w:rPr>
        <w:t xml:space="preserve">  ·  acceso para @joselut</w:t>
      </w:r>
    </w:p>
    <w:sectPr>
      <w:pgSz w:w="11906" w:h="16838" w:orient="portrait"/>
      <w:pgMar w:top="85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5141A"/>
        <w:sz w:val="19"/>
        <w:szCs w:val="19"/>
        <w:rFonts w:ascii="Segoe UI" w:cs="Segoe UI" w:eastAsia="Segoe UI" w:hAnsi="Segoe UI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5141A"/>
      <w:sz w:val="21"/>
      <w:szCs w:val="21"/>
      <w:rFonts w:ascii="Segoe UI" w:cs="Segoe UI" w:eastAsia="Segoe UI" w:hAnsi="Segoe U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4ud7uf5r7gh7c2yivwo2o" Type="http://schemas.openxmlformats.org/officeDocument/2006/relationships/hyperlink" Target="https://github.com/NatanielFM/SistemaDeGestionDePagosYAranceles" TargetMode="External"/><Relationship Id="rId6" Type="http://schemas.openxmlformats.org/officeDocument/2006/relationships/image" Target="media/0b577586ce645b8d830c9f68d7e9741e4d7d70d6.png"/><Relationship Id="rId7" Type="http://schemas.openxmlformats.org/officeDocument/2006/relationships/image" Target="media/4db22e6c847bbb260dee656b40b793281725a622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· Gestión de Pagos y Aranceles</dc:title>
  <dc:creator>Medina Nataniel</dc:creator>
  <cp:lastModifiedBy>Un-named</cp:lastModifiedBy>
  <cp:revision>1</cp:revision>
  <dcterms:created xsi:type="dcterms:W3CDTF">2026-10-29T20:22:56.868Z</dcterms:created>
  <dcterms:modified xsi:type="dcterms:W3CDTF">2026-10-29T20:22:56.877Z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