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3606"/>
      </w:tblGrid>
      <w:tr>
        <w:tc>
          <w:tcPr>
            <w:tcW w:type="dxa" w:w="6600"/>
            <w:tcBorders>
              <w:top w:val="none" w:color="FFFFFF" w:sz="0"/>
              <w:left w:val="none" w:color="FFFFFF" w:sz="0"/>
              <w:bottom w:val="single" w:color="15141A" w:sz="18"/>
              <w:right w:val="none" w:color="FFFFFF" w:sz="0"/>
            </w:tcBorders>
            <w:tcMar>
              <w:bottom w:type="dxa" w:w="100"/>
            </w:tcMar>
            <w:vAlign w:val="bottom"/>
          </w:tcPr>
          <w:p>
            <w:r>
              <w:rPr>
                <w:b/>
                <w:bCs/>
                <w:sz w:val="34"/>
                <w:szCs w:val="34"/>
              </w:rPr>
              <w:t xml:space="preserve">Gestión de Pagos y Aranceles</w:t>
            </w:r>
            <w:r>
              <w:rPr>
                <w:b/>
                <w:bCs/>
                <w:color w:val="FF5533"/>
                <w:sz w:val="34"/>
                <w:szCs w:val="34"/>
              </w:rPr>
              <w:t xml:space="preserve">.</w:t>
            </w:r>
          </w:p>
          <w:p>
            <w:r>
              <w:rPr>
                <w:color w:val="6B6B76"/>
              </w:rPr>
              <w:t xml:space="preserve">Informe técnico · Actividad 7 · Parcial 2 integrador</w:t>
            </w:r>
          </w:p>
        </w:tc>
        <w:tc>
          <w:tcPr>
            <w:tcW w:type="dxa" w:w="3606"/>
            <w:tcBorders>
              <w:top w:val="none" w:color="FFFFFF" w:sz="0"/>
              <w:left w:val="none" w:color="FFFFFF" w:sz="0"/>
              <w:bottom w:val="single" w:color="15141A" w:sz="18"/>
              <w:right w:val="none" w:color="FFFFFF" w:sz="0"/>
            </w:tcBorders>
            <w:tcMar>
              <w:bottom w:type="dxa" w:w="100"/>
            </w:tcMar>
            <w:vAlign w:val="bottom"/>
          </w:tcPr>
          <w:p>
            <w:pPr>
              <w:jc w:val="right"/>
            </w:pPr>
            <w:r>
              <w:rPr>
                <w:b w:val="false"/>
                <w:bCs w:val="false"/>
                <w:color w:val="6B6B76"/>
                <w:sz w:val="17"/>
                <w:szCs w:val="17"/>
              </w:rPr>
              <w:t xml:space="preserve">Programación III · IPESMI · 2026</w:t>
            </w:r>
          </w:p>
          <w:p>
            <w:pPr>
              <w:jc w:val="right"/>
            </w:pPr>
            <w:r>
              <w:rPr>
                <w:b w:val="false"/>
                <w:bCs w:val="false"/>
                <w:color w:val="6B6B76"/>
                <w:sz w:val="17"/>
                <w:szCs w:val="17"/>
              </w:rPr>
              <w:t xml:space="preserve">Docente: José Lutgen</w:t>
            </w:r>
          </w:p>
          <w:p>
            <w:pPr>
              <w:jc w:val="right"/>
            </w:pPr>
            <w:r>
              <w:rPr>
                <w:b/>
                <w:bCs/>
                <w:color w:val="15141A"/>
                <w:sz w:val="17"/>
                <w:szCs w:val="17"/>
              </w:rPr>
              <w:t xml:space="preserve">Alumno: Medina Nataniel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Aplicación de escritorio que administra los </w:t>
      </w:r>
      <w:r>
        <w:rPr>
          <w:b/>
          <w:bCs/>
        </w:rPr>
        <w:t xml:space="preserve">conceptos de pago</w:t>
      </w:r>
      <w:r>
        <w:t xml:space="preserve"> del instituto (matrícula, cuotas, derechos de examen), los </w:t>
      </w:r>
      <w:r>
        <w:rPr>
          <w:b/>
          <w:bCs/>
        </w:rPr>
        <w:t xml:space="preserve">pagos</w:t>
      </w:r>
      <w:r>
        <w:t xml:space="preserve"> de cada estudiante en efectivo, tarjeta o transferencia, el cálculo de </w:t>
      </w:r>
      <w:r>
        <w:rPr>
          <w:b/>
          <w:bCs/>
        </w:rPr>
        <w:t xml:space="preserve">saldos pendientes</w:t>
      </w:r>
      <w:r>
        <w:t xml:space="preserve"> y la aplicación de </w:t>
      </w:r>
      <w:r>
        <w:rPr>
          <w:b/>
          <w:bCs/>
        </w:rPr>
        <w:t xml:space="preserve">becas</w:t>
      </w:r>
      <w:r>
        <w:t xml:space="preserve">. Está hecha con Java 21, JavaFX 21, JPA (Hibernate 6) sobre MySQL y Maven.</w:t>
      </w:r>
    </w:p>
    <w:p>
      <w:pPr>
        <w:pStyle w:val="Heading2"/>
        <w:spacing w:before="200" w:after="70"/>
      </w:pPr>
      <w:r>
        <w:rPr>
          <w:color w:val="FF5533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CONTENIDOS APLICADOS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706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15141A" w:sz="1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6B6B76"/>
                <w:sz w:val="15"/>
                <w:szCs w:val="15"/>
              </w:rPr>
              <w:t xml:space="preserve">UNIDAD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15141A" w:sz="1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6B6B76"/>
                <w:sz w:val="15"/>
                <w:szCs w:val="15"/>
              </w:rPr>
              <w:t xml:space="preserve">DÓNDE SE APLICA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4 · Excepciones y colecciones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PagoDuplicadoException</w:t>
            </w:r>
            <w:r>
              <w:t xml:space="preserve">,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MontoInvalidoException</w:t>
            </w:r>
            <w:r>
              <w:t xml:space="preserve"> y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BecaNoAplicableException</w:t>
            </w:r>
            <w:r>
              <w:t xml:space="preserve"> heredan de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ArancelException</w:t>
            </w:r>
            <w:r>
              <w:t xml:space="preserve"> (verificada).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EstudianteService</w:t>
            </w:r>
            <w:r>
              <w:t xml:space="preserve"> usa un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HashMap&lt;Integer, Estudiante&gt;</w:t>
            </w:r>
            <w:r>
              <w:t xml:space="preserve"> indexado por legajo;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PagoService</w:t>
            </w:r>
            <w:r>
              <w:t xml:space="preserve"> un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ArrayList&lt;Pago&gt;</w:t>
            </w:r>
            <w:r>
              <w:t xml:space="preserve">, también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EnumMap</w:t>
            </w:r>
            <w:r>
              <w:t xml:space="preserve">,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FilteredList</w:t>
            </w:r>
            <w:r>
              <w:t xml:space="preserve"> y streams.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5 · Swing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SimuladorBecaFrame</w:t>
            </w:r>
            <w:r>
              <w:t xml:space="preserve">: formulario con BorderLayout, GridBagLayout, GridLayout y FlowLayout; eventos ActionListener, ChangeListener (JSlider / JSpinner) y DocumentListener. Se abre desde JavaFX en el hilo de Swing (EDT).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6 · JavaFX avanzado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Patrón MVC con 6 vistas FXML y sus controladores; TableView (con filtros y celdas propias), TreeView (cuenta corriente), PieChart, CSS propio y animaciones (Fade, Translate, Scale, Timeline).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7 · Persistencia JPA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Entidades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Estudiante</w:t>
            </w:r>
            <w:r>
              <w:t xml:space="preserve">,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Concepto</w:t>
            </w:r>
            <w:r>
              <w:t xml:space="preserve"> y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Pago</w:t>
            </w:r>
            <w:r>
              <w:t xml:space="preserve"> (abstracta) con herencia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SINGLE_TABLE</w:t>
            </w:r>
            <w:r>
              <w:t xml:space="preserve">;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EntityManager</w:t>
            </w:r>
            <w:r>
              <w:t xml:space="preserve"> por operación con transacciones; CRUD genérico y consultas JPQL (JOIN FETCH, COUNT, GROUP BY).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8 · Patrones y pruebas</w:t>
            </w:r>
          </w:p>
        </w:tc>
        <w:tc>
          <w:tcPr>
            <w:tcW w:type="dxa" w:w="77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Logger </w:t>
            </w:r>
            <w:r>
              <w:rPr>
                <w:b/>
                <w:bCs/>
              </w:rPr>
              <w:t xml:space="preserve">Singleton</w:t>
            </w:r>
            <w:r>
              <w:t xml:space="preserve"> (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LoggerTransacciones</w:t>
            </w:r>
            <w:r>
              <w:t xml:space="preserve">), </w:t>
            </w:r>
            <w:r>
              <w:rPr>
                <w:b/>
                <w:bCs/>
              </w:rPr>
              <w:t xml:space="preserve">Factory</w:t>
            </w:r>
            <w:r>
              <w:t xml:space="preserve"> (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PagoFactory</w:t>
            </w:r>
            <w:r>
              <w:t xml:space="preserve">) y </w:t>
            </w:r>
            <w:r>
              <w:rPr>
                <w:b/>
                <w:bCs/>
              </w:rPr>
              <w:t xml:space="preserve">78 pruebas JUnit 5</w:t>
            </w:r>
            <w:r>
              <w:t xml:space="preserve">: Logger, Factory, cálculo de saldos y servicio JPA sobre H2.</w:t>
            </w:r>
          </w:p>
        </w:tc>
      </w:tr>
    </w:tbl>
    <w:p>
      <w:pPr>
        <w:pStyle w:val="Heading2"/>
        <w:spacing w:before="200" w:after="70"/>
      </w:pPr>
      <w:r>
        <w:rPr>
          <w:color w:val="4B3BFF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DECISIONES DE DISEÑO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Capas:</w:t>
      </w:r>
      <w:r>
        <w:t xml:space="preserve"> </w:t>
      </w:r>
      <w:r>
        <w:rPr>
          <w:i/>
          <w:iCs/>
        </w:rPr>
        <w:t xml:space="preserve">modelo</w:t>
      </w:r>
      <w:r>
        <w:t xml:space="preserve"> (entidades) → </w:t>
      </w:r>
      <w:r>
        <w:rPr>
          <w:i/>
          <w:iCs/>
        </w:rPr>
        <w:t xml:space="preserve">DAO</w:t>
      </w:r>
      <w:r>
        <w:t xml:space="preserve"> (JPA/JPQL) → </w:t>
      </w:r>
      <w:r>
        <w:rPr>
          <w:i/>
          <w:iCs/>
        </w:rPr>
        <w:t xml:space="preserve">servicios</w:t>
      </w:r>
      <w:r>
        <w:t xml:space="preserve"> (reglas de negocio) → </w:t>
      </w:r>
      <w:r>
        <w:rPr>
          <w:i/>
          <w:iCs/>
        </w:rPr>
        <w:t xml:space="preserve">controladores</w:t>
      </w:r>
      <w:r>
        <w:t xml:space="preserve"> → </w:t>
      </w:r>
      <w:r>
        <w:rPr>
          <w:i/>
          <w:iCs/>
        </w:rPr>
        <w:t xml:space="preserve">vistas FXML + CSS</w:t>
      </w:r>
      <w:r>
        <w:t xml:space="preserve">. Los controladores nunca acceden a la base; los servicios se comparten mediante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AppContext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Modelo de deuda:</w:t>
      </w:r>
      <w:r>
        <w:t xml:space="preserve"> cada estudiante activo debe todos los conceptos. </w:t>
      </w:r>
      <w:r>
        <w:rPr>
          <w:i/>
          <w:iCs/>
        </w:rPr>
        <w:t xml:space="preserve">Importe</w:t>
      </w:r>
      <w:r>
        <w:t xml:space="preserve"> = monto del concepto menos el % de beca (solo si el concepto es becable). </w:t>
      </w:r>
      <w:r>
        <w:rPr>
          <w:i/>
          <w:iCs/>
        </w:rPr>
        <w:t xml:space="preserve">Saldo</w:t>
      </w:r>
      <w:r>
        <w:t xml:space="preserve"> = importe − pagos acreditados. Para evitar pagos dobles, el monto máximo admitido descuenta también los pagos pendientes.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Herencia + Factory:</w:t>
      </w:r>
      <w:r>
        <w:t xml:space="preserve">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PagoEfectivo</w:t>
      </w:r>
      <w:r>
        <w:t xml:space="preserve">,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PagoTarjeta</w:t>
      </w:r>
      <w:r>
        <w:t xml:space="preserve"> y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PagoTransferencia</w:t>
      </w:r>
      <w:r>
        <w:t xml:space="preserve"> comparten una tabla (columna discriminadora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medio</w:t>
      </w:r>
      <w:r>
        <w:t xml:space="preserve">). La fábrica valida los datos de cada medio y fija el estado inicial: efectivo y tarjeta quedan </w:t>
      </w:r>
      <w:r>
        <w:rPr>
          <w:i/>
          <w:iCs/>
        </w:rPr>
        <w:t xml:space="preserve">acreditados</w:t>
      </w:r>
      <w:r>
        <w:t xml:space="preserve">; la transferencia, </w:t>
      </w:r>
      <w:r>
        <w:rPr>
          <w:i/>
          <w:iCs/>
        </w:rPr>
        <w:t xml:space="preserve">pendiente</w:t>
      </w:r>
      <w:r>
        <w:t xml:space="preserve"> hasta que tesorería la acredita.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Dinero con</w:t>
      </w:r>
      <w:r>
        <w:t xml:space="preserve">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BigDecimal</w:t>
      </w:r>
      <w:r>
        <w:t xml:space="preserve"> (2 decimales, redondeo HALF_UP), nunca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double</w:t>
      </w:r>
      <w:r>
        <w:t xml:space="preserve">, para no perder centavos.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Cálculo aislado:</w:t>
      </w:r>
      <w:r>
        <w:t xml:space="preserve">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CalculadoraSaldos</w:t>
      </w:r>
      <w:r>
        <w:t xml:space="preserve"> no depende de la base, por eso se prueba de forma unitaria; el servicio se prueba integrado con H2 en memoria.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Logger:</w:t>
      </w:r>
      <w:r>
        <w:t xml:space="preserve"> Singleton con </w:t>
      </w:r>
      <w:r>
        <w:rPr>
          <w:i/>
          <w:iCs/>
        </w:rPr>
        <w:t xml:space="preserve">holder idiom</w:t>
      </w:r>
      <w:r>
        <w:t xml:space="preserve"> (perezoso y thread-safe); escribe en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logs/transacciones.log</w:t>
      </w:r>
      <w:r>
        <w:t xml:space="preserve">, guarda el historial y avisa a la vista Bitácora en vivo.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Configuración en capas:</w:t>
      </w:r>
      <w:r>
        <w:t xml:space="preserve">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persistence.xml</w:t>
      </w:r>
      <w:r>
        <w:t xml:space="preserve"> →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config/db.properties</w:t>
      </w:r>
      <w:r>
        <w:t xml:space="preserve"> → propiedades del sistema. Con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-Dpagos.demo=true</w:t>
      </w:r>
      <w:r>
        <w:t xml:space="preserve"> se usa H2 con datos de ejemplo, sin MySQL.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Interfaz:</w:t>
      </w:r>
      <w:r>
        <w:t xml:space="preserve"> paleta de papel y tinta con acentos de color por categoría. Los avisos son </w:t>
      </w:r>
      <w:r>
        <w:rPr>
          <w:i/>
          <w:iCs/>
        </w:rPr>
        <w:t xml:space="preserve">toasts</w:t>
      </w:r>
      <w:r>
        <w:t xml:space="preserve"> no bloqueantes en lugar de diálogos, y los campos con error se sacuden. La conexión se abre en un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Task</w:t>
      </w:r>
      <w:r>
        <w:t xml:space="preserve"> para no congelar la ventana.</w:t>
      </w:r>
    </w:p>
    <w:p>
      <w:pPr>
        <w:spacing w:after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19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62250" cy="1419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before="200" w:after="70"/>
      </w:pPr>
      <w:r>
        <w:rPr>
          <w:color w:val="00B89C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DIFICULTADES ENCONTRADAS Y SOLUCIONES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7106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15141A" w:sz="1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6B6B76"/>
                <w:sz w:val="15"/>
                <w:szCs w:val="15"/>
              </w:rPr>
              <w:t xml:space="preserve">DIFICULTAD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15141A" w:sz="1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6B6B76"/>
                <w:sz w:val="15"/>
                <w:szCs w:val="15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Aplicar una beca del 100 % era rechazado como “no aplicable”.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Lo detectó la prueba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becaCompleta</w:t>
            </w:r>
            <w:r>
              <w:t xml:space="preserve">: se verificaba el saldo </w:t>
            </w:r>
            <w:r>
              <w:rPr>
                <w:i/>
                <w:iCs/>
              </w:rPr>
              <w:t xml:space="preserve">con la beca nueva</w:t>
            </w:r>
            <w:r>
              <w:t xml:space="preserve"> (que da 0). Ahora se controla con el saldo actual, antes de aplicarla.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Mostrar “pago duplicado” y no “monto vacío” al intentar pagar un concepto ya cancelado.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Se reordenaron las validaciones del servicio: primero se busca el duplicado y después se valida el monto.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Que el script SQL y las entidades JPA coincidan (enums, booleanos, herencia).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Enums guardados como texto (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EnumType.STRING</w:t>
            </w:r>
            <w:r>
              <w:t xml:space="preserve">) y columnas VARCHAR en el script. Se ejecutó el script en MySQL 9.7 y sus consultas de saldo dan lo mismo que la aplicación.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Swing y JavaFX en el mismo programa: dos hilos de interfaz y la JVM no terminaba al cerrar.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El simulador se crea con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SwingUtilities.invokeLater</w:t>
            </w:r>
            <w:r>
              <w:t xml:space="preserve"> (EDT) y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App.stop()</w:t>
            </w:r>
            <w:r>
              <w:t xml:space="preserve"> cierra JPA y llama a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System.exit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Textos invisibles dentro de los </w:t>
            </w:r>
            <w:r>
              <w:rPr>
                <w:b/>
                <w:bCs/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ScrollPane</w:t>
            </w:r>
            <w:r>
              <w:rPr>
                <w:b/>
                <w:bCs/>
              </w:rPr>
              <w:t xml:space="preserve">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JavaFX deriva el color del texto de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-fx-background</w:t>
            </w:r>
            <w:r>
              <w:t xml:space="preserve">; al ser transparente elegía blanco. Se definió el color de fondo real.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Columnas recortadas en pantallas de 1366×768.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Anchos mínimos por columna, política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CONSTRAINED_RESIZE_POLICY_ALL_COLUMNS</w:t>
            </w:r>
            <w:r>
              <w:t xml:space="preserve">, formulario más compacto y ventana maximizada en pantallas chicas.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rPr>
                <w:b/>
                <w:bCs/>
              </w:rPr>
              <w:t xml:space="preserve">Muchas validaciones y casos borde difíciles de probar a mano.</w:t>
            </w:r>
          </w:p>
        </w:tc>
        <w:tc>
          <w:tcPr>
            <w:tcW w:type="dxa" w:w="7106"/>
            <w:tcBorders>
              <w:top w:val="none" w:color="FFFFFF" w:sz="0"/>
              <w:left w:val="none" w:color="FFFFFF" w:sz="0"/>
              <w:bottom w:val="single" w:color="E5E2DA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r>
              <w:t xml:space="preserve">Pruebas parametrizadas JUnit 5 (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@ParameterizedTest</w:t>
            </w:r>
            <w:r>
              <w:t xml:space="preserve">, </w:t>
            </w:r>
            <w:r>
              <w:rPr>
                <w:sz w:val="17"/>
                <w:szCs w:val="17"/>
                <w:rFonts w:ascii="Consolas" w:cs="Consolas" w:eastAsia="Consolas" w:hAnsi="Consolas"/>
                <w:shd w:fill="F1EFEA" w:color="auto" w:val="clear"/>
              </w:rPr>
              <w:t xml:space="preserve">@CsvSource</w:t>
            </w:r>
            <w:r>
              <w:t xml:space="preserve">): montos 0 / negativos / 3 decimales, beca 0 / 100 / 100,01 / NaN, pagar el saldo exacto y un centavo más, 1 y 12 cuotas.</w:t>
            </w:r>
          </w:p>
        </w:tc>
      </w:tr>
    </w:tbl>
    <w:p>
      <w:pPr>
        <w:pStyle w:val="Heading2"/>
        <w:spacing w:before="200" w:after="70"/>
      </w:pPr>
      <w:r>
        <w:rPr>
          <w:color w:val="FFB400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PRUEBAS</w:t>
      </w:r>
    </w:p>
    <w:p>
      <w:pPr>
        <w:spacing w:after="80"/>
      </w:pP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mvn test</w:t>
      </w:r>
      <w:r>
        <w:t xml:space="preserve"> → </w:t>
      </w:r>
      <w:r>
        <w:rPr>
          <w:b/>
          <w:bCs/>
        </w:rPr>
        <w:t xml:space="preserve">78 pruebas, 0 fallas</w:t>
      </w:r>
      <w:r>
        <w:t xml:space="preserve">.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LoggerTransaccionesTest</w:t>
      </w:r>
      <w:r>
        <w:t xml:space="preserve"> (unicidad, concurrencia, archivo, mensajes nulos/vacíos),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PagoFactoryTest</w:t>
      </w:r>
      <w:r>
        <w:t xml:space="preserve"> (tipos válidos e inválidos, dígitos y cuotas),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CalculadoraSaldosTest</w:t>
      </w:r>
      <w:r>
        <w:t xml:space="preserve"> (parciales, becas, centavos, inactivos) y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PagoServiceTest</w:t>
      </w:r>
      <w:r>
        <w:t xml:space="preserve"> (JPA + H2: duplicados, montos, becas, acreditación, JPQL).</w:t>
      </w:r>
    </w:p>
    <w:p>
      <w:pPr>
        <w:pStyle w:val="Heading2"/>
        <w:spacing w:before="200" w:after="70"/>
      </w:pPr>
      <w:r>
        <w:rPr>
          <w:color w:val="FF5533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EJECUCIÓN</w:t>
      </w:r>
    </w:p>
    <w:p>
      <w:pPr>
        <w:spacing w:after="80"/>
      </w:pPr>
      <w:r>
        <w:t xml:space="preserve">1) Ejecutar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sql/pagos_aranceles.sql</w:t>
      </w:r>
      <w:r>
        <w:t xml:space="preserve"> en MySQL. 2) Copiar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config/db.properties.ejemplo</w:t>
      </w:r>
      <w:r>
        <w:t xml:space="preserve"> como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db.properties</w:t>
      </w:r>
      <w:r>
        <w:t xml:space="preserve"> con el usuario y la contraseña. 3)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mvn javafx:run</w:t>
      </w:r>
      <w:r>
        <w:t xml:space="preserve">. Sin MySQL: </w:t>
      </w:r>
      <w:r>
        <w:rPr>
          <w:sz w:val="17"/>
          <w:szCs w:val="17"/>
          <w:rFonts w:ascii="Consolas" w:cs="Consolas" w:eastAsia="Consolas" w:hAnsi="Consolas"/>
          <w:shd w:fill="F1EFEA" w:color="auto" w:val="clear"/>
        </w:rPr>
        <w:t xml:space="preserve">mvn compile exec:java -Dpagos.demo=true</w:t>
      </w:r>
      <w:r>
        <w:t xml:space="preserve">.</w:t>
      </w:r>
    </w:p>
    <w:p>
      <w:pPr>
        <w:pStyle w:val="Heading2"/>
        <w:spacing w:before="200" w:after="70"/>
      </w:pPr>
      <w:r>
        <w:rPr>
          <w:color w:val="4B3BFF"/>
          <w:sz w:val="20"/>
          <w:szCs w:val="20"/>
        </w:rPr>
        <w:t xml:space="preserve">■  </w:t>
      </w:r>
      <w:r>
        <w:rPr>
          <w:b/>
          <w:bCs/>
          <w:color w:val="15141A"/>
          <w:sz w:val="21"/>
          <w:szCs w:val="21"/>
          <w:spacing w:val="10"/>
        </w:rPr>
        <w:t xml:space="preserve">REPOSITORIO GITHUB</w:t>
      </w:r>
    </w:p>
    <w:p>
      <w:pPr>
        <w:pBdr>
          <w:top w:val="single" w:color="15141A" w:sz="24"/>
          <w:bottom w:val="single" w:color="15141A" w:sz="24"/>
          <w:left w:val="single" w:color="15141A" w:sz="24"/>
          <w:right w:val="single" w:color="15141A" w:sz="24"/>
        </w:pBdr>
        <w:shd w:fill="15141A" w:color="auto" w:val="clear"/>
        <w:spacing w:before="40"/>
      </w:pPr>
      <w:r>
        <w:rPr>
          <w:color w:val="FFFFFF"/>
        </w:rPr>
        <w:t xml:space="preserve">  </w:t>
      </w:r>
      <w:hyperlink w:history="1" r:id="rIdxgfgwd3birs2jqpvq_c3i">
        <w:r>
          <w:rPr>
            <w:b/>
            <w:bCs/>
            <w:color w:val="FFB400"/>
          </w:rPr>
          <w:t xml:space="preserve">github.com/NatanielFM/SistemaDeGestionDePagosYAranceles</w:t>
        </w:r>
      </w:hyperlink>
      <w:r>
        <w:rPr>
          <w:color w:val="FFFFFF"/>
        </w:rPr>
        <w:t xml:space="preserve">  ·  acceso para @joselut</w:t>
      </w:r>
    </w:p>
    <w:sectPr>
      <w:pgSz w:w="11906" w:h="16838" w:orient="portrait"/>
      <w:pgMar w:top="85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5141A"/>
        <w:sz w:val="19"/>
        <w:szCs w:val="19"/>
        <w:rFonts w:ascii="Segoe UI" w:cs="Segoe UI" w:eastAsia="Segoe UI" w:hAnsi="Segoe UI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141A"/>
      <w:sz w:val="21"/>
      <w:szCs w:val="21"/>
      <w:rFonts w:ascii="Segoe UI" w:cs="Segoe UI" w:eastAsia="Segoe UI" w:hAnsi="Segoe U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gfgwd3birs2jqpvq_c3i" Type="http://schemas.openxmlformats.org/officeDocument/2006/relationships/hyperlink" Target="https://github.com/NatanielFM/SistemaDeGestionDePagosYAranceles" TargetMode="External"/><Relationship Id="rId6" Type="http://schemas.openxmlformats.org/officeDocument/2006/relationships/image" Target="media/4e324edd184672483ab326b3a0c5780c4a146af0.png"/><Relationship Id="rId7" Type="http://schemas.openxmlformats.org/officeDocument/2006/relationships/image" Target="media/4db22e6c847bbb260dee656b40b793281725a622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· Gestión de Pagos y Aranceles</dc:title>
  <dc:creator>Medina Nataniel</dc:creator>
  <cp:lastModifiedBy>Un-named</cp:lastModifiedBy>
  <cp:revision>1</cp:revision>
  <dcterms:created xsi:type="dcterms:W3CDTF">2026-10-29T13:49:23.926Z</dcterms:created>
  <dcterms:modified xsi:type="dcterms:W3CDTF">2026-10-29T13:49:23.927Z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