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(20%) CONCEPTOS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¿Cómo clasificamos los modificadores en POOB?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 acceso(Public/Private), de pertenencia(static) y de mutabilidad(final).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¿Cuales pertenecen a cada grupo?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Las clases son de tipo public y private.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¿Cuando usar cada modificador?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Cuando se llama al método.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¿Qué es la sobrecarga de métodos?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 trata de la posibilidad de tener dos o más métodos con el mismo nombre pero con funcionalidades diferentes.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¿Que se usa para identificar el método que se debe ejecutar?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 mismo compilador decide que método ejecutar primero comparándolos por sus parámetros.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¿De que se compone eso que se usa para identificar el método que se debe ejecutar?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Al ser por sus parámetros, se usa el tipo de parámetro y un orden respectivo de precedencia.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(25%) MEMORIA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Presente el mapa de memoria correspondiente a: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 competencia “Trees Algorithms” inicio el 03/02/2020. Esta competencia tiene dos problemas. Un problema llamado “DFS” que otorga 5 puntos y pertenece al tema “Recursion”. “DFS” tiene 1 test configurado. La entrada de dicho test es “SortingTest” y la salida “eginorssttt”. El otro problema es “BFS” que otorga 2 puntos con tema “Recursion”.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 El equipo “assemblers” subió una solución, para el problema DFS del contest “Trees Algorithms”, identificada con el número 1 y código fuente “print(‘test’)”. Dicha solución se encuentra en estado pendiente.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8139113" cy="5876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39113" cy="587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